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4E52" w14:textId="428A9211" w:rsidR="005350EC" w:rsidRPr="00133888" w:rsidRDefault="00DC3D9C" w:rsidP="00DC3D9C">
      <w:pPr>
        <w:pStyle w:val="DefaultText2"/>
        <w:jc w:val="center"/>
        <w:rPr>
          <w:lang w:val="en-CA"/>
        </w:rPr>
      </w:pPr>
      <w:r>
        <w:rPr>
          <w:b/>
          <w:bCs/>
          <w:lang w:val="en-CA"/>
        </w:rPr>
        <w:t>2020</w:t>
      </w:r>
      <w:r w:rsidR="005350EC" w:rsidRPr="00133888">
        <w:rPr>
          <w:b/>
          <w:bCs/>
          <w:lang w:val="en-CA"/>
        </w:rPr>
        <w:t xml:space="preserve"> Environmental </w:t>
      </w:r>
      <w:r>
        <w:rPr>
          <w:b/>
          <w:bCs/>
          <w:lang w:val="en-CA"/>
        </w:rPr>
        <w:t>Questionnaire</w:t>
      </w:r>
    </w:p>
    <w:p w14:paraId="1BAE66AC" w14:textId="77777777" w:rsidR="005350EC" w:rsidRPr="00133888" w:rsidRDefault="005350EC" w:rsidP="00E72960">
      <w:pPr>
        <w:pStyle w:val="DefaultText2"/>
        <w:jc w:val="both"/>
        <w:rPr>
          <w:b/>
          <w:bCs/>
          <w:lang w:val="en-CA"/>
        </w:rPr>
      </w:pPr>
    </w:p>
    <w:p w14:paraId="38E32072" w14:textId="6BE2CCF2" w:rsidR="005350EC" w:rsidRPr="00133888" w:rsidRDefault="005350EC" w:rsidP="005350EC">
      <w:pPr>
        <w:pStyle w:val="DefaultText2"/>
        <w:rPr>
          <w:lang w:val="en-CA"/>
        </w:rPr>
      </w:pPr>
      <w:r w:rsidRPr="00133888">
        <w:rPr>
          <w:lang w:val="en-CA"/>
        </w:rPr>
        <w:t>Canada will use a star rating system (0-3) to assess a</w:t>
      </w:r>
      <w:r>
        <w:rPr>
          <w:lang w:val="en-CA"/>
        </w:rPr>
        <w:t xml:space="preserve"> SO Suppliers</w:t>
      </w:r>
      <w:r w:rsidRPr="00133888">
        <w:rPr>
          <w:lang w:val="en-CA"/>
        </w:rPr>
        <w:t xml:space="preserve"> environmental initiative and include this information into the resulting </w:t>
      </w:r>
      <w:r>
        <w:rPr>
          <w:lang w:val="en-CA"/>
        </w:rPr>
        <w:t>SO’s</w:t>
      </w:r>
      <w:r w:rsidRPr="00133888">
        <w:rPr>
          <w:lang w:val="en-CA"/>
        </w:rPr>
        <w:t xml:space="preserve">. This will provide Identified Users with the option to choose a greener </w:t>
      </w:r>
      <w:r>
        <w:rPr>
          <w:lang w:val="en-CA"/>
        </w:rPr>
        <w:t>SO Supplier</w:t>
      </w:r>
      <w:r w:rsidRPr="00133888">
        <w:rPr>
          <w:lang w:val="en-CA"/>
        </w:rPr>
        <w:t xml:space="preserve">. </w:t>
      </w:r>
      <w:r w:rsidR="00312F6E">
        <w:rPr>
          <w:lang w:val="en-CA"/>
        </w:rPr>
        <w:t xml:space="preserve"> </w:t>
      </w:r>
    </w:p>
    <w:p w14:paraId="7C6089C8" w14:textId="77777777" w:rsidR="005350EC" w:rsidRPr="00133888" w:rsidRDefault="005350EC" w:rsidP="005350EC">
      <w:pPr>
        <w:pStyle w:val="DefaultText2"/>
        <w:rPr>
          <w:lang w:val="en-CA"/>
        </w:rPr>
      </w:pPr>
    </w:p>
    <w:p w14:paraId="1E92ABBA" w14:textId="137B10F3" w:rsidR="005350EC" w:rsidRPr="00133888" w:rsidRDefault="005350EC" w:rsidP="005350EC">
      <w:pPr>
        <w:pStyle w:val="DefaultText2"/>
        <w:rPr>
          <w:lang w:val="en-CA"/>
        </w:rPr>
      </w:pPr>
      <w:r w:rsidRPr="00133888">
        <w:rPr>
          <w:lang w:val="en-CA"/>
        </w:rPr>
        <w:t xml:space="preserve">The star rating for each Offeror will be identified in each successful Offeror's </w:t>
      </w:r>
      <w:r>
        <w:rPr>
          <w:lang w:val="en-CA"/>
        </w:rPr>
        <w:t>SO</w:t>
      </w:r>
      <w:r w:rsidRPr="00133888">
        <w:rPr>
          <w:lang w:val="en-CA"/>
        </w:rPr>
        <w:t xml:space="preserve"> as well as on a Government </w:t>
      </w:r>
      <w:r>
        <w:rPr>
          <w:lang w:val="en-CA"/>
        </w:rPr>
        <w:t>website</w:t>
      </w:r>
      <w:r w:rsidRPr="00133888">
        <w:rPr>
          <w:lang w:val="en-CA"/>
        </w:rPr>
        <w:t xml:space="preserve">. It will then be up to each Offeror to market to Identified Users their green star rating. GC plans to identify to Identified Users, the green star rating on our internal </w:t>
      </w:r>
      <w:r>
        <w:rPr>
          <w:lang w:val="en-CA"/>
        </w:rPr>
        <w:t>website</w:t>
      </w:r>
      <w:r w:rsidRPr="00133888">
        <w:rPr>
          <w:lang w:val="en-CA"/>
        </w:rPr>
        <w:t xml:space="preserve">. </w:t>
      </w:r>
    </w:p>
    <w:p w14:paraId="7BD2D1F6" w14:textId="7A49EBE8" w:rsidR="005350EC" w:rsidRPr="00133888" w:rsidRDefault="005350EC" w:rsidP="005350EC">
      <w:pPr>
        <w:pStyle w:val="DefaultText2"/>
        <w:rPr>
          <w:lang w:val="en-CA"/>
        </w:rPr>
      </w:pPr>
      <w:r w:rsidRPr="00133888">
        <w:rPr>
          <w:lang w:val="en-CA"/>
        </w:rPr>
        <w:t xml:space="preserve">The maximum total points are </w:t>
      </w:r>
      <w:r w:rsidR="00B321E2">
        <w:rPr>
          <w:lang w:val="en-CA"/>
        </w:rPr>
        <w:t>7</w:t>
      </w:r>
      <w:r w:rsidRPr="00133888">
        <w:rPr>
          <w:lang w:val="en-CA"/>
        </w:rPr>
        <w:t xml:space="preserve">. </w:t>
      </w:r>
      <w:r w:rsidR="00B321E2">
        <w:rPr>
          <w:lang w:val="en-CA"/>
        </w:rPr>
        <w:t>One</w:t>
      </w:r>
      <w:r w:rsidRPr="00133888">
        <w:rPr>
          <w:lang w:val="en-CA"/>
        </w:rPr>
        <w:t xml:space="preserve"> point </w:t>
      </w:r>
      <w:r w:rsidR="00B321E2">
        <w:rPr>
          <w:lang w:val="en-CA"/>
        </w:rPr>
        <w:t>is</w:t>
      </w:r>
      <w:r w:rsidRPr="00133888">
        <w:rPr>
          <w:lang w:val="en-CA"/>
        </w:rPr>
        <w:t xml:space="preserve"> awarded for each performance criteria correctly attained. </w:t>
      </w:r>
    </w:p>
    <w:p w14:paraId="61CDD0F0" w14:textId="77777777" w:rsidR="005350EC" w:rsidRPr="00133888" w:rsidRDefault="005350EC" w:rsidP="005350EC">
      <w:pPr>
        <w:pStyle w:val="DefaultText2"/>
        <w:rPr>
          <w:lang w:val="en-CA"/>
        </w:rPr>
      </w:pPr>
    </w:p>
    <w:p w14:paraId="2FD569B8" w14:textId="77777777" w:rsidR="005350EC" w:rsidRPr="00133888" w:rsidRDefault="005350EC" w:rsidP="005350EC">
      <w:pPr>
        <w:pStyle w:val="DefaultText2"/>
        <w:numPr>
          <w:ilvl w:val="0"/>
          <w:numId w:val="1"/>
        </w:numPr>
        <w:tabs>
          <w:tab w:val="left" w:pos="720"/>
        </w:tabs>
        <w:rPr>
          <w:lang w:val="en-CA"/>
        </w:rPr>
      </w:pPr>
      <w:r w:rsidRPr="00133888">
        <w:rPr>
          <w:lang w:val="en-CA"/>
        </w:rPr>
        <w:t>No star will be given to an Offeror if it does not provide adequate information into this section, or it obtains zero (0) point.</w:t>
      </w:r>
    </w:p>
    <w:p w14:paraId="75C4D80E" w14:textId="77777777" w:rsidR="00253A4E" w:rsidRPr="00133888" w:rsidRDefault="00253A4E" w:rsidP="00253A4E">
      <w:pPr>
        <w:pStyle w:val="DefaultText2"/>
        <w:numPr>
          <w:ilvl w:val="0"/>
          <w:numId w:val="2"/>
        </w:numPr>
        <w:tabs>
          <w:tab w:val="left" w:pos="720"/>
        </w:tabs>
        <w:rPr>
          <w:lang w:val="en-CA"/>
        </w:rPr>
      </w:pPr>
      <w:r w:rsidRPr="00133888">
        <w:rPr>
          <w:lang w:val="en-CA"/>
        </w:rPr>
        <w:t>One (1) star will be given to an Offeror that obtain</w:t>
      </w:r>
      <w:r>
        <w:rPr>
          <w:lang w:val="en-CA"/>
        </w:rPr>
        <w:t>s any points up to 2</w:t>
      </w:r>
      <w:r w:rsidRPr="00133888">
        <w:rPr>
          <w:lang w:val="en-CA"/>
        </w:rPr>
        <w:t xml:space="preserve"> points.</w:t>
      </w:r>
    </w:p>
    <w:p w14:paraId="1BA190FE" w14:textId="77777777" w:rsidR="00253A4E" w:rsidRPr="00133888" w:rsidRDefault="00253A4E" w:rsidP="00253A4E">
      <w:pPr>
        <w:pStyle w:val="DefaultText2"/>
        <w:numPr>
          <w:ilvl w:val="0"/>
          <w:numId w:val="3"/>
        </w:numPr>
        <w:tabs>
          <w:tab w:val="left" w:pos="720"/>
        </w:tabs>
        <w:rPr>
          <w:lang w:val="en-CA"/>
        </w:rPr>
      </w:pPr>
      <w:r w:rsidRPr="00133888">
        <w:rPr>
          <w:lang w:val="en-CA"/>
        </w:rPr>
        <w:t>Two (2) stars will be given to an O</w:t>
      </w:r>
      <w:r>
        <w:rPr>
          <w:lang w:val="en-CA"/>
        </w:rPr>
        <w:t>fferor that obtains more than 3 points and up to 4</w:t>
      </w:r>
      <w:r w:rsidRPr="00133888">
        <w:rPr>
          <w:lang w:val="en-CA"/>
        </w:rPr>
        <w:t xml:space="preserve"> points. </w:t>
      </w:r>
    </w:p>
    <w:p w14:paraId="20441626" w14:textId="77777777" w:rsidR="00253A4E" w:rsidRPr="00133888" w:rsidRDefault="00253A4E" w:rsidP="00253A4E">
      <w:pPr>
        <w:pStyle w:val="DefaultText2"/>
        <w:numPr>
          <w:ilvl w:val="0"/>
          <w:numId w:val="4"/>
        </w:numPr>
        <w:tabs>
          <w:tab w:val="left" w:pos="720"/>
        </w:tabs>
        <w:rPr>
          <w:lang w:val="en-CA"/>
        </w:rPr>
      </w:pPr>
      <w:r w:rsidRPr="00133888">
        <w:rPr>
          <w:lang w:val="en-CA"/>
        </w:rPr>
        <w:t>Three (3) stars will be given to an O</w:t>
      </w:r>
      <w:r>
        <w:rPr>
          <w:lang w:val="en-CA"/>
        </w:rPr>
        <w:t>fferor that obtains more than 5 points and up to 7</w:t>
      </w:r>
      <w:r w:rsidRPr="00133888">
        <w:rPr>
          <w:lang w:val="en-CA"/>
        </w:rPr>
        <w:t xml:space="preserve"> points.   </w:t>
      </w:r>
    </w:p>
    <w:p w14:paraId="447EF042" w14:textId="54287B1D" w:rsidR="005350EC" w:rsidRPr="00133888" w:rsidRDefault="005350EC" w:rsidP="00E72960">
      <w:pPr>
        <w:pStyle w:val="DefaultText2"/>
        <w:tabs>
          <w:tab w:val="left" w:pos="720"/>
        </w:tabs>
        <w:rPr>
          <w:lang w:val="en-CA"/>
        </w:rPr>
      </w:pPr>
      <w:r w:rsidRPr="00133888">
        <w:rPr>
          <w:lang w:val="en-CA"/>
        </w:rPr>
        <w:t xml:space="preserve">  </w:t>
      </w:r>
    </w:p>
    <w:p w14:paraId="54D3ED37" w14:textId="5DB82385" w:rsidR="005350EC" w:rsidRPr="00133888" w:rsidRDefault="00DC3D9C" w:rsidP="005350EC">
      <w:pPr>
        <w:pStyle w:val="DefaultText2"/>
        <w:rPr>
          <w:lang w:val="en-CA"/>
        </w:rPr>
      </w:pPr>
      <w:r>
        <w:rPr>
          <w:lang w:val="en-CA"/>
        </w:rPr>
        <w:t>Offerors</w:t>
      </w:r>
      <w:r w:rsidR="005350EC" w:rsidRPr="00133888">
        <w:rPr>
          <w:lang w:val="en-CA"/>
        </w:rPr>
        <w:t xml:space="preserve"> will </w:t>
      </w:r>
      <w:r w:rsidR="00EC4C61">
        <w:rPr>
          <w:lang w:val="en-CA"/>
        </w:rPr>
        <w:t>answer</w:t>
      </w:r>
      <w:r w:rsidR="0005348B">
        <w:rPr>
          <w:lang w:val="en-CA"/>
        </w:rPr>
        <w:t xml:space="preserve"> the </w:t>
      </w:r>
      <w:bookmarkStart w:id="0" w:name="_GoBack"/>
      <w:bookmarkEnd w:id="0"/>
      <w:r w:rsidR="0005348B">
        <w:rPr>
          <w:lang w:val="en-CA"/>
        </w:rPr>
        <w:t xml:space="preserve">questions and </w:t>
      </w:r>
      <w:r w:rsidR="005350EC" w:rsidRPr="00133888">
        <w:rPr>
          <w:lang w:val="en-CA"/>
        </w:rPr>
        <w:t xml:space="preserve">provide details and examples to demonstrate how they comply with the elements below. </w:t>
      </w:r>
    </w:p>
    <w:p w14:paraId="61403DA1" w14:textId="77777777" w:rsidR="005350EC" w:rsidRPr="00133888" w:rsidRDefault="005350EC" w:rsidP="005350EC">
      <w:pPr>
        <w:pStyle w:val="DefaultText2"/>
        <w:rPr>
          <w:lang w:val="en-CA"/>
        </w:rPr>
      </w:pPr>
      <w:r w:rsidRPr="00133888">
        <w:rPr>
          <w:lang w:val="en-CA"/>
        </w:rPr>
        <w:tab/>
      </w:r>
      <w:r w:rsidRPr="00133888">
        <w:rPr>
          <w:lang w:val="en-CA"/>
        </w:rPr>
        <w:tab/>
      </w:r>
    </w:p>
    <w:p w14:paraId="788943D8" w14:textId="7C379E79" w:rsidR="005350EC" w:rsidRDefault="00DC3D9C" w:rsidP="005350EC">
      <w:pPr>
        <w:pStyle w:val="DefaultText2"/>
        <w:rPr>
          <w:b/>
          <w:bCs/>
          <w:lang w:val="en-CA"/>
        </w:rPr>
      </w:pPr>
      <w:r>
        <w:rPr>
          <w:b/>
          <w:bCs/>
          <w:lang w:val="en-CA"/>
        </w:rPr>
        <w:t>Offerors</w:t>
      </w:r>
      <w:r w:rsidR="005350EC" w:rsidRPr="00133888">
        <w:rPr>
          <w:b/>
          <w:bCs/>
          <w:lang w:val="en-CA"/>
        </w:rPr>
        <w:t xml:space="preserve"> Business Practices:</w:t>
      </w:r>
    </w:p>
    <w:p w14:paraId="69CE02B8" w14:textId="77777777" w:rsidR="00253A4E" w:rsidRPr="00133888" w:rsidRDefault="00253A4E" w:rsidP="005350EC">
      <w:pPr>
        <w:pStyle w:val="DefaultText2"/>
        <w:rPr>
          <w:b/>
          <w:bCs/>
          <w:lang w:val="en-CA"/>
        </w:rPr>
      </w:pPr>
    </w:p>
    <w:p w14:paraId="054A15A0" w14:textId="7D38F6FA" w:rsidR="00A554B8" w:rsidRDefault="00253A4E" w:rsidP="00E72960">
      <w:pPr>
        <w:pStyle w:val="DefaultText2"/>
        <w:numPr>
          <w:ilvl w:val="0"/>
          <w:numId w:val="5"/>
        </w:numPr>
        <w:ind w:left="426" w:hanging="426"/>
        <w:rPr>
          <w:lang w:val="en-CA"/>
        </w:rPr>
      </w:pPr>
      <w:r>
        <w:rPr>
          <w:lang w:val="en-CA"/>
        </w:rPr>
        <w:t>Offering manufacturing product lines where the manufacturer participates in Canadian Extended Produce</w:t>
      </w:r>
      <w:r w:rsidR="00B321E2">
        <w:rPr>
          <w:lang w:val="en-CA"/>
        </w:rPr>
        <w:t>r Responsibility (EPR) programs:</w:t>
      </w:r>
    </w:p>
    <w:p w14:paraId="27B8DA3F" w14:textId="6C45AE1E" w:rsidR="00A554B8" w:rsidRDefault="00A554B8" w:rsidP="00E72960">
      <w:pPr>
        <w:pStyle w:val="DefaultText2"/>
        <w:numPr>
          <w:ilvl w:val="1"/>
          <w:numId w:val="5"/>
        </w:numPr>
        <w:ind w:left="993" w:hanging="284"/>
        <w:rPr>
          <w:lang w:val="en-CA"/>
        </w:rPr>
      </w:pPr>
      <w:r>
        <w:rPr>
          <w:lang w:val="en-CA"/>
        </w:rPr>
        <w:t xml:space="preserve">Take back program to reuse or recycle </w:t>
      </w:r>
      <w:r w:rsidR="002218FD">
        <w:rPr>
          <w:lang w:val="en-CA"/>
        </w:rPr>
        <w:t>products</w:t>
      </w:r>
      <w:r>
        <w:rPr>
          <w:lang w:val="en-CA"/>
        </w:rPr>
        <w:t>?</w:t>
      </w:r>
      <w:r w:rsidR="00253A4E">
        <w:rPr>
          <w:lang w:val="en-CA"/>
        </w:rPr>
        <w:t xml:space="preserve"> </w:t>
      </w:r>
      <w:r w:rsidR="00B321E2">
        <w:rPr>
          <w:lang w:val="en-CA"/>
        </w:rPr>
        <w:tab/>
      </w:r>
      <w:r w:rsidR="00B321E2">
        <w:rPr>
          <w:lang w:val="en-CA"/>
        </w:rPr>
        <w:tab/>
      </w:r>
      <w:r w:rsidR="00D22A78">
        <w:rPr>
          <w:lang w:val="en-CA"/>
        </w:rPr>
        <w:tab/>
      </w:r>
      <w:r w:rsidR="00D22A78">
        <w:rPr>
          <w:lang w:val="en-CA"/>
        </w:rPr>
        <w:tab/>
      </w:r>
      <w:r w:rsidR="00253A4E">
        <w:rPr>
          <w:lang w:val="en-CA"/>
        </w:rPr>
        <w:t>Yes/No</w:t>
      </w:r>
    </w:p>
    <w:p w14:paraId="44FCA70F" w14:textId="0D67CA16" w:rsidR="005350EC" w:rsidRPr="00133888" w:rsidRDefault="00A554B8" w:rsidP="00E72960">
      <w:pPr>
        <w:pStyle w:val="DefaultText2"/>
        <w:numPr>
          <w:ilvl w:val="1"/>
          <w:numId w:val="5"/>
        </w:numPr>
        <w:ind w:left="993" w:hanging="284"/>
        <w:rPr>
          <w:lang w:val="en-CA"/>
        </w:rPr>
      </w:pPr>
      <w:r>
        <w:rPr>
          <w:lang w:val="en-CA"/>
        </w:rPr>
        <w:t xml:space="preserve">Take back program to reuse packaging? </w:t>
      </w:r>
      <w:r w:rsidR="00B321E2">
        <w:rPr>
          <w:lang w:val="en-CA"/>
        </w:rPr>
        <w:tab/>
      </w:r>
      <w:r w:rsidR="00B321E2">
        <w:rPr>
          <w:lang w:val="en-CA"/>
        </w:rPr>
        <w:tab/>
      </w:r>
      <w:r w:rsidR="00B321E2">
        <w:rPr>
          <w:lang w:val="en-CA"/>
        </w:rPr>
        <w:tab/>
      </w:r>
      <w:r w:rsidR="00D22A78">
        <w:rPr>
          <w:lang w:val="en-CA"/>
        </w:rPr>
        <w:tab/>
      </w:r>
      <w:r w:rsidR="00D22A78">
        <w:rPr>
          <w:lang w:val="en-CA"/>
        </w:rPr>
        <w:tab/>
      </w:r>
      <w:r>
        <w:rPr>
          <w:lang w:val="en-CA"/>
        </w:rPr>
        <w:t>Yes/No</w:t>
      </w:r>
    </w:p>
    <w:p w14:paraId="2BA1D260" w14:textId="471130FE" w:rsidR="005350EC" w:rsidRPr="00133888" w:rsidRDefault="005350EC" w:rsidP="00E72960">
      <w:pPr>
        <w:pStyle w:val="DefaultText2"/>
        <w:ind w:left="426" w:hanging="426"/>
        <w:rPr>
          <w:lang w:val="en-CA"/>
        </w:rPr>
      </w:pPr>
      <w:r w:rsidRPr="00133888">
        <w:rPr>
          <w:lang w:val="en-CA"/>
        </w:rPr>
        <w:t>2.</w:t>
      </w:r>
      <w:r w:rsidRPr="00133888">
        <w:rPr>
          <w:lang w:val="en-CA"/>
        </w:rPr>
        <w:tab/>
      </w:r>
      <w:r w:rsidR="00253A4E">
        <w:rPr>
          <w:lang w:val="en-CA"/>
        </w:rPr>
        <w:t xml:space="preserve">Offering manufacturing product lines of manufacturers that have </w:t>
      </w:r>
      <w:r w:rsidR="00253A4E" w:rsidRPr="00133888">
        <w:rPr>
          <w:lang w:val="en-CA"/>
        </w:rPr>
        <w:t>ISO14001</w:t>
      </w:r>
      <w:r w:rsidR="00253A4E">
        <w:rPr>
          <w:lang w:val="en-CA"/>
        </w:rPr>
        <w:t xml:space="preserve"> certification or equivalent environmental management system? </w:t>
      </w:r>
      <w:r w:rsidR="00B321E2">
        <w:rPr>
          <w:lang w:val="en-CA"/>
        </w:rPr>
        <w:tab/>
      </w:r>
      <w:r w:rsidR="00B321E2">
        <w:rPr>
          <w:lang w:val="en-CA"/>
        </w:rPr>
        <w:tab/>
      </w:r>
      <w:r w:rsidR="00B321E2">
        <w:rPr>
          <w:lang w:val="en-CA"/>
        </w:rPr>
        <w:tab/>
      </w:r>
      <w:r w:rsidR="00175319">
        <w:rPr>
          <w:lang w:val="en-CA"/>
        </w:rPr>
        <w:t>Yes/No</w:t>
      </w:r>
      <w:r w:rsidR="00D22A78">
        <w:rPr>
          <w:lang w:val="en-CA"/>
        </w:rPr>
        <w:tab/>
      </w:r>
      <w:r w:rsidR="00253A4E">
        <w:rPr>
          <w:lang w:val="en-CA"/>
        </w:rPr>
        <w:t>If yes, provide certificate</w:t>
      </w:r>
      <w:r w:rsidR="00A554B8">
        <w:rPr>
          <w:lang w:val="en-CA"/>
        </w:rPr>
        <w:t>.</w:t>
      </w:r>
    </w:p>
    <w:p w14:paraId="7A10843D" w14:textId="4CEBE747" w:rsidR="005350EC" w:rsidRPr="00133888" w:rsidRDefault="005350EC" w:rsidP="00E72960">
      <w:pPr>
        <w:pStyle w:val="DefaultText2"/>
        <w:ind w:left="426" w:hanging="426"/>
        <w:rPr>
          <w:lang w:val="en-CA"/>
        </w:rPr>
      </w:pPr>
      <w:r w:rsidRPr="00133888">
        <w:rPr>
          <w:lang w:val="en-CA"/>
        </w:rPr>
        <w:t>3.</w:t>
      </w:r>
      <w:r w:rsidRPr="00133888">
        <w:rPr>
          <w:lang w:val="en-CA"/>
        </w:rPr>
        <w:tab/>
      </w:r>
      <w:r w:rsidR="00A554B8">
        <w:rPr>
          <w:lang w:val="en-CA"/>
        </w:rPr>
        <w:t xml:space="preserve">Offering manufacturing product lines </w:t>
      </w:r>
      <w:r w:rsidR="00A554B8" w:rsidRPr="00E72960">
        <w:t>that include products that are identified as “green” or identify “environmental features”?</w:t>
      </w:r>
      <w:r w:rsidR="00A554B8">
        <w:t xml:space="preserve"> Examples of “green features” are listed below. </w:t>
      </w:r>
      <w:r w:rsidR="00D22A78">
        <w:tab/>
      </w:r>
      <w:r w:rsidR="00D22A78">
        <w:tab/>
      </w:r>
      <w:r w:rsidR="00A554B8">
        <w:t>Yes/No</w:t>
      </w:r>
    </w:p>
    <w:p w14:paraId="3EB8C73E" w14:textId="0AE49616" w:rsidR="005350EC" w:rsidRPr="00E72960" w:rsidRDefault="005350EC" w:rsidP="00E72960">
      <w:pPr>
        <w:ind w:left="426" w:hanging="426"/>
        <w:rPr>
          <w:b/>
          <w:bCs/>
        </w:rPr>
      </w:pPr>
      <w:r w:rsidRPr="00133888">
        <w:t>4.</w:t>
      </w:r>
      <w:r w:rsidRPr="00133888">
        <w:tab/>
      </w:r>
      <w:r w:rsidR="00A554B8" w:rsidRPr="00E72960">
        <w:rPr>
          <w:sz w:val="20"/>
          <w:szCs w:val="20"/>
        </w:rPr>
        <w:t xml:space="preserve">Offering manufacturing product lines </w:t>
      </w:r>
      <w:r w:rsidR="00A554B8" w:rsidRPr="00E72960">
        <w:rPr>
          <w:sz w:val="20"/>
          <w:szCs w:val="20"/>
          <w:lang w:val="en-US"/>
        </w:rPr>
        <w:t>that include</w:t>
      </w:r>
      <w:r w:rsidR="00A554B8" w:rsidRPr="00E72960" w:rsidDel="00A554B8">
        <w:rPr>
          <w:sz w:val="20"/>
          <w:szCs w:val="20"/>
        </w:rPr>
        <w:t xml:space="preserve"> </w:t>
      </w:r>
      <w:r w:rsidR="00D22A78">
        <w:rPr>
          <w:sz w:val="20"/>
          <w:szCs w:val="20"/>
        </w:rPr>
        <w:t xml:space="preserve">sustainable </w:t>
      </w:r>
      <w:r w:rsidR="002218FD" w:rsidRPr="00E72960">
        <w:rPr>
          <w:rFonts w:eastAsia="Times New Roman" w:cs="Arial"/>
          <w:sz w:val="20"/>
          <w:szCs w:val="20"/>
          <w:lang w:eastAsia="en-CA"/>
        </w:rPr>
        <w:t>packaging materials that a</w:t>
      </w:r>
      <w:r w:rsidR="002218FD">
        <w:rPr>
          <w:rFonts w:eastAsia="Times New Roman" w:cs="Arial"/>
          <w:sz w:val="20"/>
          <w:szCs w:val="20"/>
          <w:lang w:eastAsia="en-CA"/>
        </w:rPr>
        <w:t>re</w:t>
      </w:r>
      <w:r w:rsidR="002218FD" w:rsidRPr="00E72960">
        <w:rPr>
          <w:rFonts w:eastAsia="Times New Roman" w:cs="Arial"/>
          <w:sz w:val="20"/>
          <w:szCs w:val="20"/>
          <w:lang w:eastAsia="en-CA"/>
        </w:rPr>
        <w:t xml:space="preserve"> reusable, recyclable or compostable in accordance with the definitions </w:t>
      </w:r>
      <w:r w:rsidR="00D22A78">
        <w:rPr>
          <w:rFonts w:eastAsia="Times New Roman" w:cs="Arial"/>
          <w:sz w:val="20"/>
          <w:szCs w:val="20"/>
          <w:lang w:eastAsia="en-CA"/>
        </w:rPr>
        <w:t>provided</w:t>
      </w:r>
      <w:r w:rsidR="002218FD" w:rsidRPr="00E72960">
        <w:rPr>
          <w:rFonts w:eastAsia="Times New Roman" w:cs="Arial"/>
          <w:sz w:val="20"/>
          <w:szCs w:val="20"/>
          <w:lang w:eastAsia="en-CA"/>
        </w:rPr>
        <w:t xml:space="preserve"> be</w:t>
      </w:r>
      <w:r w:rsidR="002218FD">
        <w:rPr>
          <w:rFonts w:eastAsia="Times New Roman" w:cs="Arial"/>
          <w:sz w:val="20"/>
          <w:szCs w:val="20"/>
          <w:lang w:eastAsia="en-CA"/>
        </w:rPr>
        <w:t>low</w:t>
      </w:r>
      <w:r w:rsidR="002218FD" w:rsidRPr="00E72960">
        <w:rPr>
          <w:rFonts w:eastAsia="Times New Roman" w:cs="Arial"/>
          <w:sz w:val="20"/>
          <w:szCs w:val="20"/>
          <w:lang w:eastAsia="en-CA"/>
        </w:rPr>
        <w:t xml:space="preserve">? </w:t>
      </w:r>
      <w:r w:rsidR="00D22A78">
        <w:rPr>
          <w:rFonts w:eastAsia="Times New Roman" w:cs="Arial"/>
          <w:sz w:val="20"/>
          <w:szCs w:val="20"/>
          <w:lang w:eastAsia="en-CA"/>
        </w:rPr>
        <w:tab/>
      </w:r>
      <w:r w:rsidR="002218FD">
        <w:rPr>
          <w:rFonts w:eastAsia="Times New Roman" w:cs="Arial"/>
          <w:sz w:val="20"/>
          <w:szCs w:val="20"/>
          <w:lang w:eastAsia="en-CA"/>
        </w:rPr>
        <w:t>Yes/No</w:t>
      </w:r>
    </w:p>
    <w:p w14:paraId="51C05E5A" w14:textId="1BC8959F" w:rsidR="005350EC" w:rsidRPr="002218FD" w:rsidRDefault="005350EC" w:rsidP="00E72960">
      <w:pPr>
        <w:pStyle w:val="DefaultText2"/>
        <w:ind w:left="426" w:hanging="426"/>
        <w:rPr>
          <w:lang w:val="en-CA"/>
        </w:rPr>
      </w:pPr>
      <w:r w:rsidRPr="002218FD">
        <w:rPr>
          <w:lang w:val="en-CA"/>
        </w:rPr>
        <w:t>5.</w:t>
      </w:r>
      <w:r w:rsidRPr="002218FD">
        <w:rPr>
          <w:lang w:val="en-CA"/>
        </w:rPr>
        <w:tab/>
      </w:r>
      <w:r w:rsidR="00D22A78">
        <w:rPr>
          <w:lang w:val="en-CA"/>
        </w:rPr>
        <w:t xml:space="preserve">Offering manufacturing product lines </w:t>
      </w:r>
      <w:r w:rsidR="00D22A78" w:rsidRPr="00873757">
        <w:t xml:space="preserve">that include products that are </w:t>
      </w:r>
      <w:r w:rsidR="00253A4E" w:rsidRPr="002218FD">
        <w:rPr>
          <w:lang w:val="en-CA"/>
        </w:rPr>
        <w:t>Restriction of Hazardous Substances (RoHS) certified</w:t>
      </w:r>
      <w:r w:rsidR="00D22A78">
        <w:rPr>
          <w:lang w:val="en-CA"/>
        </w:rPr>
        <w:t xml:space="preserve">? </w:t>
      </w:r>
      <w:r w:rsidR="00D22A78">
        <w:rPr>
          <w:lang w:val="en-CA"/>
        </w:rPr>
        <w:tab/>
      </w:r>
      <w:r w:rsidR="00D22A78">
        <w:rPr>
          <w:lang w:val="en-CA"/>
        </w:rPr>
        <w:tab/>
      </w:r>
      <w:r w:rsidR="00D22A78">
        <w:rPr>
          <w:lang w:val="en-CA"/>
        </w:rPr>
        <w:tab/>
      </w:r>
      <w:r w:rsidR="00D22A78">
        <w:rPr>
          <w:lang w:val="en-CA"/>
        </w:rPr>
        <w:tab/>
      </w:r>
      <w:r w:rsidR="00D22A78">
        <w:rPr>
          <w:lang w:val="en-CA"/>
        </w:rPr>
        <w:tab/>
      </w:r>
      <w:r w:rsidR="00D22A78">
        <w:rPr>
          <w:lang w:val="en-CA"/>
        </w:rPr>
        <w:tab/>
      </w:r>
      <w:r w:rsidR="00D22A78">
        <w:rPr>
          <w:lang w:val="en-CA"/>
        </w:rPr>
        <w:tab/>
        <w:t>Yes/No</w:t>
      </w:r>
    </w:p>
    <w:p w14:paraId="3716C0B7" w14:textId="5CF685FA" w:rsidR="005350EC" w:rsidRPr="002218FD" w:rsidRDefault="005350EC" w:rsidP="00E72960">
      <w:pPr>
        <w:pStyle w:val="DefaultText2"/>
        <w:ind w:left="426" w:hanging="426"/>
        <w:rPr>
          <w:lang w:val="en-CA"/>
        </w:rPr>
      </w:pPr>
      <w:r w:rsidRPr="002218FD">
        <w:t>6.</w:t>
      </w:r>
      <w:r w:rsidRPr="002218FD">
        <w:tab/>
      </w:r>
      <w:r w:rsidR="00D22A78">
        <w:rPr>
          <w:lang w:val="en-CA"/>
        </w:rPr>
        <w:t xml:space="preserve">Offering manufacturing product lines </w:t>
      </w:r>
      <w:r w:rsidR="00D22A78" w:rsidRPr="00873757">
        <w:t xml:space="preserve">that include products that are </w:t>
      </w:r>
      <w:r w:rsidR="00253A4E" w:rsidRPr="002218FD">
        <w:t>TCO Certified</w:t>
      </w:r>
      <w:r w:rsidR="00D22A78">
        <w:t xml:space="preserve">? </w:t>
      </w:r>
      <w:r w:rsidR="00D22A78">
        <w:rPr>
          <w:lang w:val="en-CA"/>
        </w:rPr>
        <w:tab/>
        <w:t>Yes/No</w:t>
      </w:r>
    </w:p>
    <w:p w14:paraId="6C94B2BB" w14:textId="440F7772" w:rsidR="005350EC" w:rsidRPr="002218FD" w:rsidRDefault="005350EC" w:rsidP="005350EC">
      <w:pPr>
        <w:pStyle w:val="DefaultText2"/>
        <w:ind w:firstLine="284"/>
        <w:rPr>
          <w:lang w:val="en-CA"/>
        </w:rPr>
      </w:pPr>
    </w:p>
    <w:p w14:paraId="3AA7DF19" w14:textId="257D612A" w:rsidR="002218FD" w:rsidRPr="00E72960" w:rsidRDefault="002218FD" w:rsidP="00E72960">
      <w:pPr>
        <w:rPr>
          <w:sz w:val="20"/>
          <w:szCs w:val="20"/>
          <w:lang w:val="en-US"/>
        </w:rPr>
      </w:pPr>
      <w:r w:rsidRPr="00E72960">
        <w:rPr>
          <w:sz w:val="20"/>
          <w:szCs w:val="20"/>
          <w:lang w:val="en-US"/>
        </w:rPr>
        <w:t>Some examples of “green”</w:t>
      </w:r>
      <w:r w:rsidR="00312F6E">
        <w:rPr>
          <w:sz w:val="20"/>
          <w:szCs w:val="20"/>
          <w:lang w:val="en-US"/>
        </w:rPr>
        <w:t xml:space="preserve"> or</w:t>
      </w:r>
      <w:r w:rsidRPr="00E72960">
        <w:rPr>
          <w:sz w:val="20"/>
          <w:szCs w:val="20"/>
          <w:lang w:val="en-US"/>
        </w:rPr>
        <w:t xml:space="preserve"> “environmental features” are:</w:t>
      </w:r>
    </w:p>
    <w:p w14:paraId="55268285" w14:textId="77777777" w:rsidR="002218FD" w:rsidRPr="00E72960" w:rsidRDefault="002218FD" w:rsidP="00E72960">
      <w:pPr>
        <w:pStyle w:val="ListParagraph"/>
        <w:numPr>
          <w:ilvl w:val="3"/>
          <w:numId w:val="6"/>
        </w:numPr>
        <w:ind w:left="709" w:hanging="425"/>
        <w:rPr>
          <w:sz w:val="20"/>
          <w:szCs w:val="20"/>
          <w:lang w:val="en-US"/>
        </w:rPr>
      </w:pPr>
      <w:r w:rsidRPr="00E72960">
        <w:rPr>
          <w:sz w:val="20"/>
          <w:szCs w:val="20"/>
          <w:lang w:val="en-US"/>
        </w:rPr>
        <w:t>Lower power consumption power supplies,</w:t>
      </w:r>
    </w:p>
    <w:p w14:paraId="416A18A2" w14:textId="77777777" w:rsidR="002218FD" w:rsidRPr="00E72960" w:rsidRDefault="002218FD" w:rsidP="00E72960">
      <w:pPr>
        <w:pStyle w:val="ListParagraph"/>
        <w:numPr>
          <w:ilvl w:val="3"/>
          <w:numId w:val="6"/>
        </w:numPr>
        <w:ind w:left="709" w:hanging="425"/>
        <w:rPr>
          <w:sz w:val="20"/>
          <w:szCs w:val="20"/>
          <w:lang w:val="en-US"/>
        </w:rPr>
      </w:pPr>
      <w:r w:rsidRPr="00E72960">
        <w:rPr>
          <w:bCs/>
          <w:sz w:val="20"/>
          <w:szCs w:val="20"/>
          <w:lang w:val="en-GB"/>
        </w:rPr>
        <w:t>Use of Power-over-Ethernet</w:t>
      </w:r>
      <w:r w:rsidRPr="00E72960">
        <w:rPr>
          <w:b/>
          <w:bCs/>
          <w:sz w:val="20"/>
          <w:szCs w:val="20"/>
          <w:lang w:val="en-GB"/>
        </w:rPr>
        <w:t xml:space="preserve"> </w:t>
      </w:r>
      <w:r w:rsidRPr="00E72960">
        <w:rPr>
          <w:sz w:val="20"/>
          <w:szCs w:val="20"/>
          <w:lang w:val="en-GB"/>
        </w:rPr>
        <w:t>to send both power and network connectivity across one cable,</w:t>
      </w:r>
    </w:p>
    <w:p w14:paraId="1E3FE368" w14:textId="77777777" w:rsidR="002218FD" w:rsidRPr="00E72960" w:rsidRDefault="002218FD" w:rsidP="00E72960">
      <w:pPr>
        <w:pStyle w:val="ListParagraph"/>
        <w:numPr>
          <w:ilvl w:val="3"/>
          <w:numId w:val="6"/>
        </w:numPr>
        <w:ind w:left="709" w:hanging="425"/>
        <w:rPr>
          <w:sz w:val="20"/>
          <w:szCs w:val="20"/>
          <w:lang w:val="en-US"/>
        </w:rPr>
      </w:pPr>
      <w:r w:rsidRPr="00E72960">
        <w:rPr>
          <w:bCs/>
          <w:sz w:val="20"/>
          <w:szCs w:val="20"/>
          <w:lang w:val="en-GB"/>
        </w:rPr>
        <w:t xml:space="preserve">Energy efficient cameras </w:t>
      </w:r>
      <w:r w:rsidRPr="00E72960">
        <w:rPr>
          <w:sz w:val="20"/>
          <w:szCs w:val="20"/>
          <w:lang w:val="en-GB"/>
        </w:rPr>
        <w:t>that use PoE and have minimal moving parts,</w:t>
      </w:r>
    </w:p>
    <w:p w14:paraId="1403DD7B" w14:textId="77777777" w:rsidR="002218FD" w:rsidRPr="00E72960" w:rsidRDefault="002218FD" w:rsidP="00E72960">
      <w:pPr>
        <w:pStyle w:val="ListParagraph"/>
        <w:numPr>
          <w:ilvl w:val="3"/>
          <w:numId w:val="6"/>
        </w:numPr>
        <w:ind w:left="709" w:hanging="425"/>
        <w:rPr>
          <w:sz w:val="20"/>
          <w:szCs w:val="20"/>
          <w:lang w:val="en-US"/>
        </w:rPr>
      </w:pPr>
      <w:r w:rsidRPr="00E72960">
        <w:rPr>
          <w:bCs/>
          <w:sz w:val="20"/>
          <w:szCs w:val="20"/>
          <w:lang w:val="en-GB"/>
        </w:rPr>
        <w:t>Multi-sensor cameras</w:t>
      </w:r>
      <w:r w:rsidRPr="00E72960">
        <w:rPr>
          <w:b/>
          <w:bCs/>
          <w:sz w:val="20"/>
          <w:szCs w:val="20"/>
          <w:lang w:val="en-GB"/>
        </w:rPr>
        <w:t xml:space="preserve"> </w:t>
      </w:r>
      <w:r w:rsidRPr="00E72960">
        <w:rPr>
          <w:bCs/>
          <w:sz w:val="20"/>
          <w:szCs w:val="20"/>
          <w:lang w:val="en-GB"/>
        </w:rPr>
        <w:t>that</w:t>
      </w:r>
      <w:r w:rsidRPr="00E72960">
        <w:rPr>
          <w:sz w:val="20"/>
          <w:szCs w:val="20"/>
          <w:lang w:val="en-GB"/>
        </w:rPr>
        <w:t xml:space="preserve"> monitor a wide area compared to PTZ cameras that have extra motors to power,</w:t>
      </w:r>
    </w:p>
    <w:p w14:paraId="73548335" w14:textId="77777777" w:rsidR="002218FD" w:rsidRPr="00E72960" w:rsidRDefault="002218FD" w:rsidP="00E72960">
      <w:pPr>
        <w:pStyle w:val="ListParagraph"/>
        <w:numPr>
          <w:ilvl w:val="3"/>
          <w:numId w:val="6"/>
        </w:numPr>
        <w:ind w:left="709" w:hanging="425"/>
        <w:rPr>
          <w:sz w:val="20"/>
          <w:szCs w:val="20"/>
          <w:lang w:val="en-US"/>
        </w:rPr>
      </w:pPr>
      <w:r w:rsidRPr="00E72960">
        <w:rPr>
          <w:sz w:val="20"/>
          <w:szCs w:val="20"/>
          <w:lang w:val="en-US"/>
        </w:rPr>
        <w:t>Camera</w:t>
      </w:r>
      <w:r w:rsidRPr="00E72960">
        <w:rPr>
          <w:sz w:val="20"/>
          <w:szCs w:val="20"/>
          <w:lang w:val="en-GB"/>
        </w:rPr>
        <w:t xml:space="preserve"> housings purpose-built for extreme weather conditions compared to cameras with</w:t>
      </w:r>
      <w:r w:rsidRPr="00E72960">
        <w:rPr>
          <w:bCs/>
          <w:sz w:val="20"/>
          <w:szCs w:val="20"/>
          <w:lang w:val="en-GB"/>
        </w:rPr>
        <w:t xml:space="preserve"> built-in heaters</w:t>
      </w:r>
      <w:r w:rsidRPr="00E72960">
        <w:rPr>
          <w:b/>
          <w:bCs/>
          <w:sz w:val="20"/>
          <w:szCs w:val="20"/>
          <w:lang w:val="en-GB"/>
        </w:rPr>
        <w:t xml:space="preserve"> </w:t>
      </w:r>
    </w:p>
    <w:p w14:paraId="00398B76" w14:textId="77777777" w:rsidR="002218FD" w:rsidRPr="00E72960" w:rsidRDefault="002218FD" w:rsidP="005350EC">
      <w:pPr>
        <w:pStyle w:val="DefaultText2"/>
        <w:ind w:firstLine="284"/>
      </w:pPr>
    </w:p>
    <w:p w14:paraId="5FD1EE33" w14:textId="0FF92591" w:rsidR="00B321E2" w:rsidRPr="00E72960" w:rsidRDefault="00B321E2" w:rsidP="00E72960">
      <w:pPr>
        <w:pStyle w:val="NoSpacing"/>
        <w:rPr>
          <w:rFonts w:eastAsiaTheme="minorHAnsi" w:cs="Arial"/>
          <w:b/>
          <w:sz w:val="20"/>
          <w:szCs w:val="20"/>
          <w:lang w:val="en-US"/>
        </w:rPr>
      </w:pPr>
      <w:r w:rsidRPr="00E72960">
        <w:rPr>
          <w:rFonts w:cs="Arial"/>
          <w:b/>
          <w:sz w:val="20"/>
          <w:szCs w:val="20"/>
          <w:lang w:val="en-US"/>
        </w:rPr>
        <w:t xml:space="preserve">Sustainable packaging specifications </w:t>
      </w:r>
    </w:p>
    <w:p w14:paraId="13AC0514" w14:textId="77777777" w:rsidR="00B321E2" w:rsidRPr="00E72960" w:rsidRDefault="00B321E2" w:rsidP="00E72960">
      <w:pPr>
        <w:pStyle w:val="NoSpacing"/>
        <w:rPr>
          <w:rFonts w:cs="Arial"/>
          <w:sz w:val="20"/>
          <w:szCs w:val="20"/>
          <w:highlight w:val="yellow"/>
        </w:rPr>
      </w:pPr>
    </w:p>
    <w:p w14:paraId="494B8EFB" w14:textId="77777777" w:rsidR="00B321E2" w:rsidRPr="00E72960" w:rsidRDefault="00B321E2" w:rsidP="00E72960">
      <w:pPr>
        <w:pStyle w:val="NoSpacing"/>
        <w:rPr>
          <w:rFonts w:eastAsia="Times New Roman" w:cs="Arial"/>
          <w:sz w:val="20"/>
          <w:szCs w:val="20"/>
          <w:lang w:eastAsia="en-CA"/>
        </w:rPr>
      </w:pPr>
      <w:r w:rsidRPr="00E72960">
        <w:rPr>
          <w:rFonts w:eastAsia="Times New Roman" w:cs="Arial"/>
          <w:sz w:val="20"/>
          <w:szCs w:val="20"/>
          <w:lang w:eastAsia="en-CA"/>
        </w:rPr>
        <w:t xml:space="preserve">All packaging material related to this procurement must be reusable, recyclable or compostable in accordance with the following definitions: </w:t>
      </w:r>
    </w:p>
    <w:p w14:paraId="72B90E4B" w14:textId="77777777" w:rsidR="00B321E2" w:rsidRPr="00E72960" w:rsidRDefault="00B321E2" w:rsidP="00E72960">
      <w:pPr>
        <w:pStyle w:val="NoSpacing"/>
        <w:rPr>
          <w:rFonts w:eastAsia="Times New Roman" w:cs="Arial"/>
          <w:sz w:val="20"/>
          <w:szCs w:val="20"/>
          <w:lang w:eastAsia="en-CA"/>
        </w:rPr>
      </w:pPr>
    </w:p>
    <w:p w14:paraId="40664EA7" w14:textId="77777777" w:rsidR="00B321E2" w:rsidRPr="00E72960" w:rsidRDefault="00B321E2" w:rsidP="00E72960">
      <w:pPr>
        <w:pStyle w:val="NoSpacing"/>
        <w:rPr>
          <w:rFonts w:eastAsia="Times New Roman" w:cs="Arial"/>
          <w:b/>
          <w:sz w:val="20"/>
          <w:szCs w:val="20"/>
          <w:lang w:eastAsia="en-CA"/>
        </w:rPr>
      </w:pPr>
      <w:r w:rsidRPr="00E72960">
        <w:rPr>
          <w:rFonts w:eastAsia="Times New Roman" w:cs="Arial"/>
          <w:b/>
          <w:sz w:val="20"/>
          <w:szCs w:val="20"/>
          <w:lang w:eastAsia="en-CA"/>
        </w:rPr>
        <w:t>Packaging</w:t>
      </w:r>
    </w:p>
    <w:p w14:paraId="2FE43CCD" w14:textId="77777777" w:rsidR="00B321E2" w:rsidRPr="00E72960" w:rsidRDefault="00B321E2" w:rsidP="00E72960">
      <w:pPr>
        <w:pStyle w:val="NoSpacing"/>
        <w:rPr>
          <w:rFonts w:eastAsia="Times New Roman" w:cs="Arial"/>
          <w:lang w:eastAsia="en-CA"/>
        </w:rPr>
      </w:pPr>
      <w:r w:rsidRPr="00E72960">
        <w:rPr>
          <w:rFonts w:eastAsia="Times New Roman" w:cs="Arial"/>
          <w:sz w:val="20"/>
          <w:szCs w:val="20"/>
          <w:lang w:eastAsia="en-CA"/>
        </w:rPr>
        <w:t xml:space="preserve">Product to be used for the containment, protection, handling, delivery, storage, transport and presentation of goods.  (Source: </w:t>
      </w:r>
      <w:r w:rsidRPr="00E72960">
        <w:rPr>
          <w:rFonts w:eastAsia="Times New Roman" w:cs="Arial"/>
          <w:i/>
          <w:sz w:val="20"/>
          <w:szCs w:val="20"/>
          <w:lang w:eastAsia="en-CA"/>
        </w:rPr>
        <w:t>ISO 21067-1:2016, Clause 2.1.1</w:t>
      </w:r>
      <w:r w:rsidRPr="00E72960">
        <w:rPr>
          <w:rFonts w:eastAsia="Times New Roman" w:cs="Arial"/>
          <w:sz w:val="20"/>
          <w:szCs w:val="20"/>
          <w:lang w:eastAsia="en-CA"/>
        </w:rPr>
        <w:t>)</w:t>
      </w:r>
    </w:p>
    <w:p w14:paraId="61FD6009" w14:textId="77777777" w:rsidR="00B321E2" w:rsidRPr="00E72960" w:rsidRDefault="00B321E2" w:rsidP="00E72960">
      <w:pPr>
        <w:pStyle w:val="NoSpacing"/>
        <w:rPr>
          <w:rFonts w:eastAsia="Times New Roman" w:cs="Arial"/>
          <w:lang w:eastAsia="en-CA"/>
        </w:rPr>
      </w:pPr>
    </w:p>
    <w:p w14:paraId="505A11C2" w14:textId="77777777" w:rsidR="00B321E2" w:rsidRPr="00E72960" w:rsidRDefault="00B321E2" w:rsidP="00E72960">
      <w:pPr>
        <w:pStyle w:val="NoSpacing"/>
        <w:rPr>
          <w:rFonts w:eastAsiaTheme="minorHAnsi" w:cs="Arial"/>
          <w:b/>
          <w:sz w:val="20"/>
          <w:szCs w:val="20"/>
        </w:rPr>
      </w:pPr>
      <w:r w:rsidRPr="00E72960">
        <w:rPr>
          <w:rFonts w:cs="Arial"/>
          <w:b/>
          <w:sz w:val="20"/>
          <w:szCs w:val="20"/>
        </w:rPr>
        <w:t>Reusable</w:t>
      </w:r>
    </w:p>
    <w:p w14:paraId="2A682D2C" w14:textId="77777777" w:rsidR="00B321E2" w:rsidRPr="00E72960" w:rsidRDefault="00B321E2" w:rsidP="00E72960">
      <w:pPr>
        <w:pStyle w:val="NoSpacing"/>
        <w:rPr>
          <w:rFonts w:cs="Arial"/>
          <w:sz w:val="20"/>
          <w:szCs w:val="20"/>
        </w:rPr>
      </w:pPr>
      <w:r w:rsidRPr="00E72960">
        <w:rPr>
          <w:rFonts w:cs="Arial"/>
          <w:sz w:val="20"/>
          <w:szCs w:val="20"/>
        </w:rPr>
        <w:lastRenderedPageBreak/>
        <w:t>Designed to be used multiple times for the same purpose with minimal, if any, processing.</w:t>
      </w:r>
    </w:p>
    <w:p w14:paraId="7999C7D3" w14:textId="77777777" w:rsidR="00B321E2" w:rsidRPr="00E72960" w:rsidRDefault="00B321E2" w:rsidP="00E72960">
      <w:pPr>
        <w:pStyle w:val="NoSpacing"/>
        <w:rPr>
          <w:rFonts w:cs="Arial"/>
          <w:sz w:val="20"/>
          <w:szCs w:val="20"/>
        </w:rPr>
      </w:pPr>
    </w:p>
    <w:p w14:paraId="1B93D780" w14:textId="77777777" w:rsidR="00B321E2" w:rsidRPr="00E72960" w:rsidRDefault="00B321E2" w:rsidP="00E72960">
      <w:pPr>
        <w:pStyle w:val="NoSpacing"/>
        <w:rPr>
          <w:rFonts w:cs="Arial"/>
          <w:sz w:val="20"/>
          <w:szCs w:val="20"/>
        </w:rPr>
      </w:pPr>
      <w:r w:rsidRPr="00E72960">
        <w:rPr>
          <w:rFonts w:cs="Arial"/>
          <w:sz w:val="20"/>
          <w:szCs w:val="20"/>
        </w:rPr>
        <w:t>A characteristic of a product or packaging that has been conceived and designed to accomplish within its life cycle a certain number of trips, rotations or uses for the same purpose for which it was conceived. (Source: CAN/CSA-ISO 14021, Clause 7.12.1.1)</w:t>
      </w:r>
    </w:p>
    <w:p w14:paraId="11BF0811" w14:textId="77777777" w:rsidR="00B321E2" w:rsidRPr="00E72960" w:rsidRDefault="00B321E2" w:rsidP="00E72960">
      <w:pPr>
        <w:pStyle w:val="NoSpacing"/>
        <w:rPr>
          <w:rFonts w:cs="Arial"/>
          <w:sz w:val="20"/>
          <w:szCs w:val="20"/>
        </w:rPr>
      </w:pPr>
    </w:p>
    <w:p w14:paraId="68A5415A" w14:textId="77777777" w:rsidR="00B321E2" w:rsidRPr="00E72960" w:rsidRDefault="00B321E2" w:rsidP="00E72960">
      <w:pPr>
        <w:pStyle w:val="NoSpacing"/>
        <w:rPr>
          <w:rFonts w:cs="Arial"/>
          <w:b/>
          <w:sz w:val="20"/>
          <w:szCs w:val="20"/>
        </w:rPr>
      </w:pPr>
      <w:r w:rsidRPr="00E72960">
        <w:rPr>
          <w:rFonts w:cs="Arial"/>
          <w:b/>
          <w:sz w:val="20"/>
          <w:szCs w:val="20"/>
        </w:rPr>
        <w:t>Recyclable</w:t>
      </w:r>
    </w:p>
    <w:p w14:paraId="26C8F6FC" w14:textId="77777777" w:rsidR="00B321E2" w:rsidRPr="00E72960" w:rsidRDefault="00B321E2" w:rsidP="00E72960">
      <w:pPr>
        <w:pStyle w:val="NoSpacing"/>
        <w:rPr>
          <w:rFonts w:cs="Arial"/>
          <w:sz w:val="20"/>
          <w:szCs w:val="20"/>
        </w:rPr>
      </w:pPr>
      <w:r w:rsidRPr="00E72960">
        <w:rPr>
          <w:rFonts w:cs="Arial"/>
          <w:sz w:val="20"/>
          <w:szCs w:val="20"/>
        </w:rPr>
        <w:t>Capable of being diverted from the waste stream through available processes and programmes and can be collected, processed and returned to use in the form of raw materials or products.</w:t>
      </w:r>
      <w:r w:rsidRPr="00E72960">
        <w:rPr>
          <w:rFonts w:eastAsia="Times New Roman" w:cs="Arial"/>
          <w:sz w:val="20"/>
          <w:szCs w:val="20"/>
        </w:rPr>
        <w:t xml:space="preserve"> (Source </w:t>
      </w:r>
      <w:r w:rsidRPr="00E72960">
        <w:rPr>
          <w:rFonts w:cs="Arial"/>
          <w:i/>
          <w:sz w:val="20"/>
          <w:szCs w:val="20"/>
        </w:rPr>
        <w:t>CAN/CSA-ISO 14021, Clause 7.7.1</w:t>
      </w:r>
      <w:r w:rsidRPr="00E72960">
        <w:rPr>
          <w:rFonts w:cs="Arial"/>
          <w:sz w:val="20"/>
          <w:szCs w:val="20"/>
        </w:rPr>
        <w:t>)</w:t>
      </w:r>
    </w:p>
    <w:p w14:paraId="06B7DA7F" w14:textId="77777777" w:rsidR="00B321E2" w:rsidRPr="00E72960" w:rsidRDefault="00B321E2" w:rsidP="00E72960">
      <w:pPr>
        <w:pStyle w:val="NoSpacing"/>
        <w:rPr>
          <w:rFonts w:cs="Arial"/>
          <w:sz w:val="20"/>
          <w:szCs w:val="20"/>
        </w:rPr>
      </w:pPr>
    </w:p>
    <w:p w14:paraId="5645EF69" w14:textId="77777777" w:rsidR="00B321E2" w:rsidRPr="00E72960" w:rsidRDefault="00B321E2" w:rsidP="00E72960">
      <w:pPr>
        <w:pStyle w:val="NoSpacing"/>
        <w:rPr>
          <w:rFonts w:cs="Arial"/>
          <w:b/>
          <w:sz w:val="20"/>
          <w:szCs w:val="20"/>
        </w:rPr>
      </w:pPr>
      <w:r w:rsidRPr="00E72960">
        <w:rPr>
          <w:rFonts w:cs="Arial"/>
          <w:b/>
          <w:sz w:val="20"/>
          <w:szCs w:val="20"/>
        </w:rPr>
        <w:t xml:space="preserve">Recyclable packaging </w:t>
      </w:r>
    </w:p>
    <w:p w14:paraId="53FE6E9A" w14:textId="77777777" w:rsidR="00B321E2" w:rsidRPr="00E72960" w:rsidRDefault="00B321E2" w:rsidP="00E72960">
      <w:pPr>
        <w:pStyle w:val="NoSpacing"/>
        <w:rPr>
          <w:rFonts w:cs="Arial"/>
          <w:sz w:val="20"/>
          <w:szCs w:val="20"/>
        </w:rPr>
      </w:pPr>
      <w:r w:rsidRPr="00E72960">
        <w:rPr>
          <w:rFonts w:cs="Arial"/>
          <w:sz w:val="20"/>
          <w:szCs w:val="20"/>
        </w:rPr>
        <w:t>A packaging or packaging component is recyclable if its successful post-consumer collection, sorting, and recycling is proven to work in practice and at scale. This means that there is an existing (collection, sorting and recycling) system in place that actually recycles the packaging and that covers significant and relevant geographical areas as measured by population size. (Source: adapted from the EMF New Plastics Economy Global Commitment)</w:t>
      </w:r>
    </w:p>
    <w:p w14:paraId="62E5F384" w14:textId="77777777" w:rsidR="00B321E2" w:rsidRPr="00E72960" w:rsidRDefault="00B321E2" w:rsidP="00E72960">
      <w:pPr>
        <w:pStyle w:val="NoSpacing"/>
        <w:rPr>
          <w:rFonts w:cs="Arial"/>
          <w:sz w:val="20"/>
          <w:szCs w:val="20"/>
        </w:rPr>
      </w:pPr>
    </w:p>
    <w:p w14:paraId="2ABC0C89" w14:textId="77777777" w:rsidR="00B321E2" w:rsidRPr="00E72960" w:rsidRDefault="00B321E2" w:rsidP="00E72960">
      <w:pPr>
        <w:pStyle w:val="NoSpacing"/>
        <w:rPr>
          <w:rFonts w:cs="Arial"/>
          <w:b/>
          <w:sz w:val="20"/>
          <w:szCs w:val="20"/>
        </w:rPr>
      </w:pPr>
      <w:r w:rsidRPr="00E72960">
        <w:rPr>
          <w:rFonts w:cs="Arial"/>
          <w:b/>
          <w:sz w:val="20"/>
          <w:szCs w:val="20"/>
        </w:rPr>
        <w:t xml:space="preserve">Compostable </w:t>
      </w:r>
    </w:p>
    <w:p w14:paraId="3DE4811B" w14:textId="77777777" w:rsidR="00B321E2" w:rsidRPr="00E72960" w:rsidRDefault="00B321E2" w:rsidP="00E72960">
      <w:pPr>
        <w:pStyle w:val="NoSpacing"/>
        <w:rPr>
          <w:rFonts w:cs="Arial"/>
          <w:sz w:val="20"/>
          <w:szCs w:val="20"/>
        </w:rPr>
      </w:pPr>
      <w:r w:rsidRPr="00E72960">
        <w:rPr>
          <w:rFonts w:cs="Arial"/>
          <w:sz w:val="20"/>
          <w:szCs w:val="20"/>
        </w:rPr>
        <w:t>A characteristic of a product, packaging or associated component that allows it to biodegrade, generating a relatively homogeneous and stable humus-like substance.</w:t>
      </w:r>
      <w:r w:rsidRPr="00E72960">
        <w:rPr>
          <w:rFonts w:cs="Arial"/>
          <w:iCs/>
          <w:sz w:val="20"/>
          <w:szCs w:val="20"/>
        </w:rPr>
        <w:t xml:space="preserve"> (</w:t>
      </w:r>
      <w:r w:rsidRPr="00E72960">
        <w:rPr>
          <w:rFonts w:cs="Arial"/>
          <w:i/>
          <w:iCs/>
          <w:sz w:val="20"/>
          <w:szCs w:val="20"/>
        </w:rPr>
        <w:t>Source: CAN/CSA</w:t>
      </w:r>
      <w:r w:rsidRPr="00E72960">
        <w:rPr>
          <w:rFonts w:cs="Arial"/>
          <w:i/>
          <w:iCs/>
          <w:sz w:val="20"/>
          <w:szCs w:val="20"/>
        </w:rPr>
        <w:noBreakHyphen/>
        <w:t>ISO 14021, Clause 7.2.1</w:t>
      </w:r>
      <w:r w:rsidRPr="00E72960">
        <w:rPr>
          <w:rFonts w:cs="Arial"/>
          <w:iCs/>
          <w:sz w:val="20"/>
          <w:szCs w:val="20"/>
        </w:rPr>
        <w:t>)</w:t>
      </w:r>
    </w:p>
    <w:p w14:paraId="0239D04A" w14:textId="77777777" w:rsidR="00B321E2" w:rsidRPr="00E72960" w:rsidRDefault="00B321E2" w:rsidP="00E72960">
      <w:pPr>
        <w:pStyle w:val="NoSpacing"/>
        <w:rPr>
          <w:rFonts w:cs="Arial"/>
          <w:sz w:val="20"/>
          <w:szCs w:val="20"/>
        </w:rPr>
      </w:pPr>
      <w:r w:rsidRPr="00E72960">
        <w:rPr>
          <w:rFonts w:cs="Arial"/>
          <w:sz w:val="20"/>
          <w:szCs w:val="20"/>
        </w:rPr>
        <w:t xml:space="preserve"> </w:t>
      </w:r>
    </w:p>
    <w:p w14:paraId="7EF85470" w14:textId="77777777" w:rsidR="00B321E2" w:rsidRPr="00E72960" w:rsidRDefault="00B321E2" w:rsidP="00E72960">
      <w:pPr>
        <w:pStyle w:val="NoSpacing"/>
        <w:rPr>
          <w:rFonts w:cs="Arial"/>
          <w:sz w:val="20"/>
          <w:szCs w:val="20"/>
        </w:rPr>
      </w:pPr>
      <w:r w:rsidRPr="00E72960">
        <w:rPr>
          <w:rFonts w:cs="Arial"/>
          <w:sz w:val="20"/>
          <w:szCs w:val="20"/>
        </w:rPr>
        <w:t xml:space="preserve">NOTE: for packaging to be considered compostable it must be certified against the current standards (i.e., </w:t>
      </w:r>
      <w:r w:rsidRPr="00E72960">
        <w:rPr>
          <w:rFonts w:eastAsia="Times New Roman" w:cs="Arial"/>
          <w:sz w:val="20"/>
          <w:szCs w:val="20"/>
          <w:shd w:val="clear" w:color="auto" w:fill="FFFFFF"/>
        </w:rPr>
        <w:t>CAN/</w:t>
      </w:r>
      <w:r w:rsidRPr="00E72960">
        <w:rPr>
          <w:rFonts w:eastAsia="Times New Roman" w:cs="Arial"/>
          <w:bCs/>
          <w:sz w:val="20"/>
          <w:szCs w:val="20"/>
          <w:shd w:val="clear" w:color="auto" w:fill="FFFFFF"/>
        </w:rPr>
        <w:t>BNQ</w:t>
      </w:r>
      <w:r w:rsidRPr="00E72960">
        <w:rPr>
          <w:rFonts w:eastAsia="Times New Roman" w:cs="Arial"/>
          <w:sz w:val="20"/>
          <w:szCs w:val="20"/>
          <w:shd w:val="clear" w:color="auto" w:fill="FFFFFF"/>
        </w:rPr>
        <w:t xml:space="preserve"> 0017-08 or ASTM D6400); </w:t>
      </w:r>
      <w:r w:rsidRPr="00E72960">
        <w:rPr>
          <w:rFonts w:cs="Arial"/>
          <w:sz w:val="20"/>
          <w:szCs w:val="20"/>
        </w:rPr>
        <w:t>it should also be proven that the certified packaging can be composted in practice and at scale, meaning that there is an existing (collection, sorting and recycling) system in place that actually composts the packaging and that covers significant and relevant geographical areas as measured by population size.</w:t>
      </w:r>
    </w:p>
    <w:p w14:paraId="17CC3751" w14:textId="77777777" w:rsidR="00B321E2" w:rsidRPr="00E72960" w:rsidRDefault="00B321E2" w:rsidP="00E72960">
      <w:pPr>
        <w:pStyle w:val="NoSpacing"/>
        <w:rPr>
          <w:rFonts w:cs="Arial"/>
          <w:sz w:val="20"/>
          <w:szCs w:val="20"/>
        </w:rPr>
      </w:pPr>
    </w:p>
    <w:p w14:paraId="1072D4C1" w14:textId="77777777" w:rsidR="00B321E2" w:rsidRPr="00E72960" w:rsidRDefault="00B321E2" w:rsidP="00E72960">
      <w:pPr>
        <w:pStyle w:val="NoSpacing"/>
        <w:rPr>
          <w:rFonts w:cs="Arial"/>
          <w:b/>
          <w:sz w:val="20"/>
          <w:szCs w:val="20"/>
        </w:rPr>
      </w:pPr>
      <w:r w:rsidRPr="00E72960">
        <w:rPr>
          <w:rFonts w:cs="Arial"/>
          <w:b/>
          <w:sz w:val="20"/>
          <w:szCs w:val="20"/>
        </w:rPr>
        <w:t>Excluded material</w:t>
      </w:r>
    </w:p>
    <w:p w14:paraId="205897AD" w14:textId="77777777" w:rsidR="00B321E2" w:rsidRPr="00E72960" w:rsidRDefault="00B321E2" w:rsidP="00E72960">
      <w:pPr>
        <w:pStyle w:val="NoSpacing"/>
        <w:rPr>
          <w:rFonts w:cs="Arial"/>
          <w:sz w:val="20"/>
          <w:szCs w:val="20"/>
        </w:rPr>
      </w:pPr>
      <w:r w:rsidRPr="00E72960">
        <w:rPr>
          <w:rFonts w:cs="Arial"/>
          <w:sz w:val="20"/>
          <w:szCs w:val="20"/>
        </w:rPr>
        <w:t>Packaging tape is excluded from the sustainable packaging specifications.</w:t>
      </w:r>
    </w:p>
    <w:p w14:paraId="784ED00A" w14:textId="77777777" w:rsidR="001B6162" w:rsidRDefault="001B6162" w:rsidP="00E72960">
      <w:pPr>
        <w:pStyle w:val="NoSpacing"/>
      </w:pPr>
    </w:p>
    <w:sectPr w:rsidR="001B61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7DE9"/>
    <w:multiLevelType w:val="singleLevel"/>
    <w:tmpl w:val="E6E0DDEC"/>
    <w:lvl w:ilvl="0">
      <w:numFmt w:val="none"/>
      <w:lvlText w:val=""/>
      <w:legacy w:legacy="1" w:legacySpace="0" w:legacyIndent="360"/>
      <w:lvlJc w:val="left"/>
      <w:pPr>
        <w:ind w:left="720" w:hanging="360"/>
      </w:pPr>
      <w:rPr>
        <w:rFonts w:ascii="Wingdings" w:hAnsi="Wingdings" w:hint="default"/>
        <w:sz w:val="20"/>
      </w:rPr>
    </w:lvl>
  </w:abstractNum>
  <w:abstractNum w:abstractNumId="1" w15:restartNumberingAfterBreak="0">
    <w:nsid w:val="23594A3A"/>
    <w:multiLevelType w:val="singleLevel"/>
    <w:tmpl w:val="E6E0DDEC"/>
    <w:lvl w:ilvl="0">
      <w:numFmt w:val="none"/>
      <w:lvlText w:val=""/>
      <w:legacy w:legacy="1" w:legacySpace="0" w:legacyIndent="360"/>
      <w:lvlJc w:val="left"/>
      <w:pPr>
        <w:ind w:left="720" w:hanging="360"/>
      </w:pPr>
      <w:rPr>
        <w:rFonts w:ascii="Wingdings" w:hAnsi="Wingdings" w:hint="default"/>
        <w:sz w:val="20"/>
      </w:rPr>
    </w:lvl>
  </w:abstractNum>
  <w:abstractNum w:abstractNumId="2" w15:restartNumberingAfterBreak="0">
    <w:nsid w:val="53CC780C"/>
    <w:multiLevelType w:val="singleLevel"/>
    <w:tmpl w:val="E6E0DDEC"/>
    <w:lvl w:ilvl="0">
      <w:numFmt w:val="none"/>
      <w:lvlText w:val=""/>
      <w:legacy w:legacy="1" w:legacySpace="0" w:legacyIndent="360"/>
      <w:lvlJc w:val="left"/>
      <w:pPr>
        <w:ind w:left="720" w:hanging="360"/>
      </w:pPr>
      <w:rPr>
        <w:rFonts w:ascii="Wingdings" w:hAnsi="Wingdings" w:hint="default"/>
        <w:sz w:val="20"/>
      </w:rPr>
    </w:lvl>
  </w:abstractNum>
  <w:abstractNum w:abstractNumId="3" w15:restartNumberingAfterBreak="0">
    <w:nsid w:val="5670522C"/>
    <w:multiLevelType w:val="hybridMultilevel"/>
    <w:tmpl w:val="1FC04A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D0C4772"/>
    <w:multiLevelType w:val="singleLevel"/>
    <w:tmpl w:val="E6E0DDEC"/>
    <w:lvl w:ilvl="0">
      <w:numFmt w:val="none"/>
      <w:lvlText w:val=""/>
      <w:legacy w:legacy="1" w:legacySpace="0" w:legacyIndent="360"/>
      <w:lvlJc w:val="left"/>
      <w:pPr>
        <w:ind w:left="720" w:hanging="360"/>
      </w:pPr>
      <w:rPr>
        <w:rFonts w:ascii="Wingdings" w:hAnsi="Wingdings" w:hint="default"/>
        <w:sz w:val="20"/>
      </w:rPr>
    </w:lvl>
  </w:abstractNum>
  <w:abstractNum w:abstractNumId="5" w15:restartNumberingAfterBreak="0">
    <w:nsid w:val="762252D5"/>
    <w:multiLevelType w:val="hybridMultilevel"/>
    <w:tmpl w:val="12E2AA7E"/>
    <w:lvl w:ilvl="0" w:tplc="C52250DA">
      <w:start w:val="1"/>
      <w:numFmt w:val="decimal"/>
      <w:lvlText w:val="%1."/>
      <w:lvlJc w:val="left"/>
      <w:pPr>
        <w:ind w:left="704" w:hanging="420"/>
      </w:pPr>
      <w:rPr>
        <w:rFonts w:hint="default"/>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36"/>
    <w:rsid w:val="000304FF"/>
    <w:rsid w:val="00043FDA"/>
    <w:rsid w:val="00045E34"/>
    <w:rsid w:val="0005348B"/>
    <w:rsid w:val="000541F8"/>
    <w:rsid w:val="00084600"/>
    <w:rsid w:val="000B3713"/>
    <w:rsid w:val="000C33EF"/>
    <w:rsid w:val="0011602B"/>
    <w:rsid w:val="001357A1"/>
    <w:rsid w:val="00144D84"/>
    <w:rsid w:val="00147024"/>
    <w:rsid w:val="001666AE"/>
    <w:rsid w:val="00175319"/>
    <w:rsid w:val="00182332"/>
    <w:rsid w:val="0018501B"/>
    <w:rsid w:val="00190A99"/>
    <w:rsid w:val="00191CBC"/>
    <w:rsid w:val="00194982"/>
    <w:rsid w:val="00195CD3"/>
    <w:rsid w:val="0019610C"/>
    <w:rsid w:val="001A3C71"/>
    <w:rsid w:val="001B1231"/>
    <w:rsid w:val="001B6162"/>
    <w:rsid w:val="001C3B3A"/>
    <w:rsid w:val="001D594B"/>
    <w:rsid w:val="001D5BFA"/>
    <w:rsid w:val="001E6916"/>
    <w:rsid w:val="0020202E"/>
    <w:rsid w:val="00207535"/>
    <w:rsid w:val="002127E1"/>
    <w:rsid w:val="002146D3"/>
    <w:rsid w:val="002218FD"/>
    <w:rsid w:val="00240C46"/>
    <w:rsid w:val="00253A4E"/>
    <w:rsid w:val="00295BA3"/>
    <w:rsid w:val="002A3D63"/>
    <w:rsid w:val="002E191A"/>
    <w:rsid w:val="00312F6E"/>
    <w:rsid w:val="003304B0"/>
    <w:rsid w:val="00337890"/>
    <w:rsid w:val="00352ABE"/>
    <w:rsid w:val="003615D7"/>
    <w:rsid w:val="00390898"/>
    <w:rsid w:val="00392866"/>
    <w:rsid w:val="003F302A"/>
    <w:rsid w:val="00414E24"/>
    <w:rsid w:val="00440FB1"/>
    <w:rsid w:val="0047269D"/>
    <w:rsid w:val="00480201"/>
    <w:rsid w:val="004A4CDD"/>
    <w:rsid w:val="004C03F0"/>
    <w:rsid w:val="004F1C75"/>
    <w:rsid w:val="004F3E9A"/>
    <w:rsid w:val="00504965"/>
    <w:rsid w:val="005207E0"/>
    <w:rsid w:val="00527794"/>
    <w:rsid w:val="0053022F"/>
    <w:rsid w:val="005350EC"/>
    <w:rsid w:val="0056261E"/>
    <w:rsid w:val="00563A66"/>
    <w:rsid w:val="00574C84"/>
    <w:rsid w:val="005F2FFB"/>
    <w:rsid w:val="006121AB"/>
    <w:rsid w:val="00636630"/>
    <w:rsid w:val="006414D2"/>
    <w:rsid w:val="00650815"/>
    <w:rsid w:val="00653C5E"/>
    <w:rsid w:val="00653D6D"/>
    <w:rsid w:val="0068583C"/>
    <w:rsid w:val="00685ECB"/>
    <w:rsid w:val="00693773"/>
    <w:rsid w:val="006A7104"/>
    <w:rsid w:val="006D73C6"/>
    <w:rsid w:val="006F2651"/>
    <w:rsid w:val="007326BF"/>
    <w:rsid w:val="00744B80"/>
    <w:rsid w:val="00752F41"/>
    <w:rsid w:val="00773D27"/>
    <w:rsid w:val="007A5DF5"/>
    <w:rsid w:val="007A7556"/>
    <w:rsid w:val="007B6AEF"/>
    <w:rsid w:val="007C2256"/>
    <w:rsid w:val="007F05AC"/>
    <w:rsid w:val="007F6E54"/>
    <w:rsid w:val="00801EA2"/>
    <w:rsid w:val="00810946"/>
    <w:rsid w:val="00810AD0"/>
    <w:rsid w:val="00813761"/>
    <w:rsid w:val="00815529"/>
    <w:rsid w:val="00826328"/>
    <w:rsid w:val="008756C3"/>
    <w:rsid w:val="008B3FC2"/>
    <w:rsid w:val="008B6C33"/>
    <w:rsid w:val="008C673E"/>
    <w:rsid w:val="008D1FE1"/>
    <w:rsid w:val="008F1179"/>
    <w:rsid w:val="008F4D34"/>
    <w:rsid w:val="00935E35"/>
    <w:rsid w:val="009420E7"/>
    <w:rsid w:val="00962188"/>
    <w:rsid w:val="00966D0E"/>
    <w:rsid w:val="00976BFB"/>
    <w:rsid w:val="00980526"/>
    <w:rsid w:val="009E6910"/>
    <w:rsid w:val="009F18E7"/>
    <w:rsid w:val="009F36D8"/>
    <w:rsid w:val="00A15472"/>
    <w:rsid w:val="00A50E9C"/>
    <w:rsid w:val="00A554B8"/>
    <w:rsid w:val="00A6684D"/>
    <w:rsid w:val="00A7644E"/>
    <w:rsid w:val="00A8056B"/>
    <w:rsid w:val="00A92D7E"/>
    <w:rsid w:val="00AC5DD6"/>
    <w:rsid w:val="00AD3ACE"/>
    <w:rsid w:val="00AD4F80"/>
    <w:rsid w:val="00AF1636"/>
    <w:rsid w:val="00B209B7"/>
    <w:rsid w:val="00B250BC"/>
    <w:rsid w:val="00B321E2"/>
    <w:rsid w:val="00B3371C"/>
    <w:rsid w:val="00B3446A"/>
    <w:rsid w:val="00B36A08"/>
    <w:rsid w:val="00B4626E"/>
    <w:rsid w:val="00B47CF9"/>
    <w:rsid w:val="00B60CCD"/>
    <w:rsid w:val="00B6246C"/>
    <w:rsid w:val="00B86825"/>
    <w:rsid w:val="00B90805"/>
    <w:rsid w:val="00B9760B"/>
    <w:rsid w:val="00BB18AD"/>
    <w:rsid w:val="00BC0109"/>
    <w:rsid w:val="00BD123B"/>
    <w:rsid w:val="00BE5BCB"/>
    <w:rsid w:val="00BF1AB4"/>
    <w:rsid w:val="00BF2358"/>
    <w:rsid w:val="00BF7211"/>
    <w:rsid w:val="00C025A3"/>
    <w:rsid w:val="00C03837"/>
    <w:rsid w:val="00C110CB"/>
    <w:rsid w:val="00C1489F"/>
    <w:rsid w:val="00C37197"/>
    <w:rsid w:val="00C37B3E"/>
    <w:rsid w:val="00C51492"/>
    <w:rsid w:val="00C526CA"/>
    <w:rsid w:val="00C7619C"/>
    <w:rsid w:val="00C8745C"/>
    <w:rsid w:val="00CA04B5"/>
    <w:rsid w:val="00CA5FCD"/>
    <w:rsid w:val="00CB589B"/>
    <w:rsid w:val="00CF3729"/>
    <w:rsid w:val="00D00B4D"/>
    <w:rsid w:val="00D1796F"/>
    <w:rsid w:val="00D22A78"/>
    <w:rsid w:val="00D4201A"/>
    <w:rsid w:val="00D43759"/>
    <w:rsid w:val="00D516D3"/>
    <w:rsid w:val="00D73604"/>
    <w:rsid w:val="00D873ED"/>
    <w:rsid w:val="00DA2867"/>
    <w:rsid w:val="00DA7DC9"/>
    <w:rsid w:val="00DB0CCE"/>
    <w:rsid w:val="00DB666B"/>
    <w:rsid w:val="00DC3D9C"/>
    <w:rsid w:val="00DE104E"/>
    <w:rsid w:val="00DE51E4"/>
    <w:rsid w:val="00DE52F8"/>
    <w:rsid w:val="00E17392"/>
    <w:rsid w:val="00E20AD0"/>
    <w:rsid w:val="00E345F6"/>
    <w:rsid w:val="00E428C2"/>
    <w:rsid w:val="00E42A96"/>
    <w:rsid w:val="00E44705"/>
    <w:rsid w:val="00E632CA"/>
    <w:rsid w:val="00E72960"/>
    <w:rsid w:val="00E763E4"/>
    <w:rsid w:val="00E81171"/>
    <w:rsid w:val="00E9026E"/>
    <w:rsid w:val="00EA65AC"/>
    <w:rsid w:val="00EB76E1"/>
    <w:rsid w:val="00EC0260"/>
    <w:rsid w:val="00EC4C61"/>
    <w:rsid w:val="00EE29D8"/>
    <w:rsid w:val="00F01D98"/>
    <w:rsid w:val="00F23C1A"/>
    <w:rsid w:val="00F41D92"/>
    <w:rsid w:val="00F5261F"/>
    <w:rsid w:val="00FA54AF"/>
    <w:rsid w:val="00FB3EEA"/>
    <w:rsid w:val="00FB4D65"/>
    <w:rsid w:val="00FC2F06"/>
    <w:rsid w:val="00FD1C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53CB"/>
  <w15:chartTrackingRefBased/>
  <w15:docId w15:val="{6389D4C4-FB90-4BCA-B410-6B5B9259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D27"/>
    <w:pPr>
      <w:spacing w:after="0" w:line="240" w:lineRule="auto"/>
    </w:pPr>
    <w:rPr>
      <w:rFonts w:ascii="Arial" w:eastAsiaTheme="minorEastAsia" w:hAnsi="Arial"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5350EC"/>
    <w:pPr>
      <w:autoSpaceDE w:val="0"/>
      <w:autoSpaceDN w:val="0"/>
      <w:adjustRightInd w:val="0"/>
    </w:pPr>
    <w:rPr>
      <w:rFonts w:eastAsia="Times New Roman" w:cs="Arial"/>
      <w:sz w:val="20"/>
      <w:szCs w:val="20"/>
      <w:lang w:val="en-US"/>
    </w:rPr>
  </w:style>
  <w:style w:type="character" w:styleId="CommentReference">
    <w:name w:val="annotation reference"/>
    <w:basedOn w:val="DefaultParagraphFont"/>
    <w:uiPriority w:val="99"/>
    <w:semiHidden/>
    <w:unhideWhenUsed/>
    <w:rsid w:val="001B6162"/>
    <w:rPr>
      <w:sz w:val="16"/>
      <w:szCs w:val="16"/>
    </w:rPr>
  </w:style>
  <w:style w:type="paragraph" w:styleId="CommentText">
    <w:name w:val="annotation text"/>
    <w:basedOn w:val="Normal"/>
    <w:link w:val="CommentTextChar"/>
    <w:uiPriority w:val="99"/>
    <w:semiHidden/>
    <w:unhideWhenUsed/>
    <w:rsid w:val="001B6162"/>
    <w:rPr>
      <w:sz w:val="20"/>
      <w:szCs w:val="20"/>
    </w:rPr>
  </w:style>
  <w:style w:type="character" w:customStyle="1" w:styleId="CommentTextChar">
    <w:name w:val="Comment Text Char"/>
    <w:basedOn w:val="DefaultParagraphFont"/>
    <w:link w:val="CommentText"/>
    <w:uiPriority w:val="99"/>
    <w:semiHidden/>
    <w:rsid w:val="001B6162"/>
    <w:rPr>
      <w:rFonts w:ascii="Arial" w:eastAsiaTheme="minorEastAsia" w:hAnsi="Arial" w:cs="Calibri"/>
      <w:sz w:val="20"/>
      <w:szCs w:val="20"/>
    </w:rPr>
  </w:style>
  <w:style w:type="paragraph" w:styleId="CommentSubject">
    <w:name w:val="annotation subject"/>
    <w:basedOn w:val="CommentText"/>
    <w:next w:val="CommentText"/>
    <w:link w:val="CommentSubjectChar"/>
    <w:uiPriority w:val="99"/>
    <w:semiHidden/>
    <w:unhideWhenUsed/>
    <w:rsid w:val="001B6162"/>
    <w:rPr>
      <w:b/>
      <w:bCs/>
    </w:rPr>
  </w:style>
  <w:style w:type="character" w:customStyle="1" w:styleId="CommentSubjectChar">
    <w:name w:val="Comment Subject Char"/>
    <w:basedOn w:val="CommentTextChar"/>
    <w:link w:val="CommentSubject"/>
    <w:uiPriority w:val="99"/>
    <w:semiHidden/>
    <w:rsid w:val="001B6162"/>
    <w:rPr>
      <w:rFonts w:ascii="Arial" w:eastAsiaTheme="minorEastAsia" w:hAnsi="Arial" w:cs="Calibri"/>
      <w:b/>
      <w:bCs/>
      <w:sz w:val="20"/>
      <w:szCs w:val="20"/>
    </w:rPr>
  </w:style>
  <w:style w:type="paragraph" w:styleId="BalloonText">
    <w:name w:val="Balloon Text"/>
    <w:basedOn w:val="Normal"/>
    <w:link w:val="BalloonTextChar"/>
    <w:uiPriority w:val="99"/>
    <w:semiHidden/>
    <w:unhideWhenUsed/>
    <w:rsid w:val="001B6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162"/>
    <w:rPr>
      <w:rFonts w:ascii="Segoe UI" w:eastAsiaTheme="minorEastAsia" w:hAnsi="Segoe UI" w:cs="Segoe UI"/>
      <w:sz w:val="18"/>
      <w:szCs w:val="18"/>
    </w:rPr>
  </w:style>
  <w:style w:type="table" w:styleId="TableGrid">
    <w:name w:val="Table Grid"/>
    <w:basedOn w:val="TableNormal"/>
    <w:uiPriority w:val="39"/>
    <w:rsid w:val="001B6162"/>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B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1B6162"/>
    <w:rPr>
      <w:rFonts w:ascii="Courier New" w:eastAsia="Times New Roman" w:hAnsi="Courier New" w:cs="Courier New"/>
      <w:sz w:val="20"/>
      <w:szCs w:val="20"/>
      <w:lang w:eastAsia="en-CA"/>
    </w:rPr>
  </w:style>
  <w:style w:type="paragraph" w:styleId="NormalWeb">
    <w:name w:val="Normal (Web)"/>
    <w:basedOn w:val="Normal"/>
    <w:uiPriority w:val="99"/>
    <w:semiHidden/>
    <w:unhideWhenUsed/>
    <w:rsid w:val="001B6162"/>
    <w:pPr>
      <w:spacing w:before="100" w:beforeAutospacing="1" w:after="100" w:afterAutospacing="1"/>
    </w:pPr>
    <w:rPr>
      <w:rFonts w:ascii="Times New Roman" w:eastAsia="Times New Roman" w:hAnsi="Times New Roman" w:cs="Times New Roman"/>
      <w:sz w:val="24"/>
      <w:szCs w:val="24"/>
      <w:lang w:val="fr-CA" w:eastAsia="fr-CA"/>
    </w:rPr>
  </w:style>
  <w:style w:type="paragraph" w:styleId="ListParagraph">
    <w:name w:val="List Paragraph"/>
    <w:basedOn w:val="Normal"/>
    <w:uiPriority w:val="34"/>
    <w:qFormat/>
    <w:rsid w:val="002218FD"/>
    <w:pPr>
      <w:ind w:left="720"/>
      <w:contextualSpacing/>
    </w:pPr>
  </w:style>
  <w:style w:type="paragraph" w:styleId="NoSpacing">
    <w:name w:val="No Spacing"/>
    <w:uiPriority w:val="1"/>
    <w:qFormat/>
    <w:rsid w:val="00D22A78"/>
    <w:pPr>
      <w:spacing w:after="0" w:line="240" w:lineRule="auto"/>
    </w:pPr>
    <w:rPr>
      <w:rFonts w:ascii="Arial" w:eastAsiaTheme="minorEastAsia"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Pages>
  <Words>733</Words>
  <Characters>4182</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Canada\Gouvernement du Canada</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Moore</dc:creator>
  <cp:keywords/>
  <dc:description/>
  <cp:lastModifiedBy>Brian Moore</cp:lastModifiedBy>
  <cp:revision>17</cp:revision>
  <dcterms:created xsi:type="dcterms:W3CDTF">2020-04-15T14:06:00Z</dcterms:created>
  <dcterms:modified xsi:type="dcterms:W3CDTF">2020-07-07T00:32:00Z</dcterms:modified>
</cp:coreProperties>
</file>