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755C" w14:textId="77777777" w:rsidR="00891167" w:rsidRDefault="00891167" w:rsidP="00891167">
      <w:pPr>
        <w:spacing w:after="120" w:line="280" w:lineRule="atLeast"/>
        <w:jc w:val="center"/>
        <w:rPr>
          <w:rFonts w:cs="Arial"/>
          <w:b/>
          <w:sz w:val="22"/>
          <w:szCs w:val="22"/>
        </w:rPr>
      </w:pPr>
    </w:p>
    <w:p w14:paraId="0F0AEF1A" w14:textId="703822ED" w:rsidR="00891167" w:rsidRPr="004E7CE2" w:rsidRDefault="00891167" w:rsidP="00891167">
      <w:pPr>
        <w:spacing w:after="120" w:line="280" w:lineRule="atLeast"/>
        <w:jc w:val="center"/>
        <w:rPr>
          <w:rFonts w:cs="Arial"/>
          <w:b/>
          <w:sz w:val="22"/>
          <w:szCs w:val="22"/>
        </w:rPr>
      </w:pPr>
      <w:r w:rsidRPr="004E7CE2">
        <w:rPr>
          <w:rFonts w:cs="Arial"/>
          <w:b/>
          <w:sz w:val="22"/>
          <w:szCs w:val="22"/>
        </w:rPr>
        <w:t>R</w:t>
      </w:r>
      <w:r>
        <w:rPr>
          <w:rFonts w:cs="Arial"/>
          <w:b/>
          <w:sz w:val="22"/>
          <w:szCs w:val="22"/>
        </w:rPr>
        <w:t xml:space="preserve">FI </w:t>
      </w:r>
      <w:r w:rsidR="000F727C">
        <w:rPr>
          <w:rFonts w:cs="Arial"/>
          <w:b/>
          <w:sz w:val="22"/>
          <w:szCs w:val="22"/>
        </w:rPr>
        <w:t>-</w:t>
      </w:r>
      <w:r>
        <w:rPr>
          <w:rFonts w:cs="Arial"/>
          <w:b/>
          <w:sz w:val="22"/>
          <w:szCs w:val="22"/>
        </w:rPr>
        <w:t xml:space="preserve"> </w:t>
      </w:r>
      <w:r w:rsidRPr="004E7CE2">
        <w:rPr>
          <w:rFonts w:cs="Arial"/>
          <w:b/>
          <w:sz w:val="22"/>
          <w:szCs w:val="22"/>
        </w:rPr>
        <w:t xml:space="preserve">Qualification Based Selection Model </w:t>
      </w:r>
      <w:r>
        <w:rPr>
          <w:rFonts w:cs="Arial"/>
          <w:b/>
          <w:sz w:val="22"/>
          <w:szCs w:val="22"/>
        </w:rPr>
        <w:t>and</w:t>
      </w:r>
      <w:r>
        <w:rPr>
          <w:rFonts w:cs="Arial"/>
          <w:b/>
          <w:sz w:val="22"/>
          <w:szCs w:val="22"/>
        </w:rPr>
        <w:t xml:space="preserve"> </w:t>
      </w:r>
      <w:r>
        <w:rPr>
          <w:rFonts w:cs="Arial"/>
          <w:b/>
          <w:sz w:val="22"/>
          <w:szCs w:val="22"/>
        </w:rPr>
        <w:t>Social Procurement</w:t>
      </w:r>
    </w:p>
    <w:p w14:paraId="253FFEE3" w14:textId="77777777" w:rsidR="00A46D7C" w:rsidRPr="003B7F7E" w:rsidRDefault="00A46D7C" w:rsidP="004E7CE2">
      <w:pPr>
        <w:spacing w:after="0" w:line="280" w:lineRule="atLeast"/>
        <w:jc w:val="center"/>
        <w:rPr>
          <w:rFonts w:cs="Arial"/>
          <w:b/>
          <w:sz w:val="20"/>
          <w:szCs w:val="20"/>
        </w:rPr>
      </w:pPr>
      <w:r w:rsidRPr="003B7F7E">
        <w:rPr>
          <w:rFonts w:cs="Arial"/>
          <w:b/>
          <w:sz w:val="20"/>
          <w:szCs w:val="20"/>
        </w:rPr>
        <w:t>ANNEX A</w:t>
      </w:r>
    </w:p>
    <w:p w14:paraId="6D1FF54D" w14:textId="34A0D503" w:rsidR="00B302C5" w:rsidRDefault="00A46D7C" w:rsidP="000F727C">
      <w:pPr>
        <w:spacing w:after="0" w:line="280" w:lineRule="atLeast"/>
        <w:jc w:val="center"/>
        <w:rPr>
          <w:rFonts w:cs="Arial"/>
          <w:b/>
          <w:sz w:val="20"/>
          <w:szCs w:val="20"/>
        </w:rPr>
      </w:pPr>
      <w:r w:rsidRPr="003B7F7E">
        <w:rPr>
          <w:rFonts w:cs="Arial"/>
          <w:b/>
          <w:sz w:val="20"/>
          <w:szCs w:val="20"/>
        </w:rPr>
        <w:t>QUESTIONS</w:t>
      </w:r>
    </w:p>
    <w:p w14:paraId="1918A8B0" w14:textId="77777777" w:rsidR="000F727C" w:rsidRPr="003B7F7E" w:rsidRDefault="000F727C" w:rsidP="000F727C">
      <w:pPr>
        <w:spacing w:after="0" w:line="280" w:lineRule="atLeast"/>
        <w:jc w:val="center"/>
        <w:rPr>
          <w:rFonts w:cs="Arial"/>
          <w:b/>
          <w:sz w:val="20"/>
          <w:szCs w:val="20"/>
        </w:rPr>
      </w:pPr>
    </w:p>
    <w:tbl>
      <w:tblPr>
        <w:tblStyle w:val="TableGrid"/>
        <w:tblW w:w="9372" w:type="dxa"/>
        <w:jc w:val="center"/>
        <w:tblLayout w:type="fixed"/>
        <w:tblLook w:val="04A0" w:firstRow="1" w:lastRow="0" w:firstColumn="1" w:lastColumn="0" w:noHBand="0" w:noVBand="1"/>
      </w:tblPr>
      <w:tblGrid>
        <w:gridCol w:w="704"/>
        <w:gridCol w:w="4394"/>
        <w:gridCol w:w="4274"/>
      </w:tblGrid>
      <w:tr w:rsidR="00A8147B" w:rsidRPr="003B7F7E" w14:paraId="6F42E39E" w14:textId="77777777" w:rsidTr="00B2685B">
        <w:trPr>
          <w:jc w:val="center"/>
        </w:trPr>
        <w:tc>
          <w:tcPr>
            <w:tcW w:w="704" w:type="dxa"/>
            <w:shd w:val="clear" w:color="auto" w:fill="D9D9D9" w:themeFill="background1" w:themeFillShade="D9"/>
          </w:tcPr>
          <w:p w14:paraId="7E128A92" w14:textId="77777777" w:rsidR="00A8147B" w:rsidRPr="003B7F7E" w:rsidRDefault="00A8147B" w:rsidP="004A376C">
            <w:pPr>
              <w:spacing w:after="240" w:line="280" w:lineRule="atLeast"/>
              <w:jc w:val="center"/>
              <w:rPr>
                <w:rFonts w:eastAsia="Calibri" w:cs="Arial"/>
                <w:b/>
                <w:sz w:val="20"/>
                <w:szCs w:val="20"/>
                <w:lang w:val="en-CA"/>
              </w:rPr>
            </w:pPr>
            <w:r w:rsidRPr="003B7F7E">
              <w:rPr>
                <w:rFonts w:eastAsia="Calibri" w:cs="Arial"/>
                <w:b/>
                <w:sz w:val="20"/>
                <w:szCs w:val="20"/>
                <w:lang w:val="en-CA"/>
              </w:rPr>
              <w:t>#</w:t>
            </w:r>
          </w:p>
        </w:tc>
        <w:tc>
          <w:tcPr>
            <w:tcW w:w="4394" w:type="dxa"/>
            <w:shd w:val="clear" w:color="auto" w:fill="D9D9D9" w:themeFill="background1" w:themeFillShade="D9"/>
          </w:tcPr>
          <w:p w14:paraId="285B1021" w14:textId="77777777" w:rsidR="00A8147B" w:rsidRPr="003B7F7E" w:rsidRDefault="00A8147B" w:rsidP="004A376C">
            <w:pPr>
              <w:spacing w:after="240" w:line="280" w:lineRule="atLeast"/>
              <w:jc w:val="center"/>
              <w:rPr>
                <w:rFonts w:eastAsia="Calibri" w:cs="Arial"/>
                <w:b/>
                <w:sz w:val="20"/>
                <w:szCs w:val="20"/>
                <w:lang w:val="en-CA"/>
              </w:rPr>
            </w:pPr>
            <w:r w:rsidRPr="003B7F7E">
              <w:rPr>
                <w:rFonts w:eastAsia="Calibri" w:cs="Arial"/>
                <w:b/>
                <w:sz w:val="20"/>
                <w:szCs w:val="20"/>
                <w:lang w:val="en-CA"/>
              </w:rPr>
              <w:t>Question</w:t>
            </w:r>
          </w:p>
        </w:tc>
        <w:tc>
          <w:tcPr>
            <w:tcW w:w="4274" w:type="dxa"/>
            <w:shd w:val="clear" w:color="auto" w:fill="D9D9D9" w:themeFill="background1" w:themeFillShade="D9"/>
          </w:tcPr>
          <w:p w14:paraId="48869D07" w14:textId="77777777" w:rsidR="00A8147B" w:rsidRPr="003B7F7E" w:rsidRDefault="00A8147B" w:rsidP="004A376C">
            <w:pPr>
              <w:spacing w:after="240" w:line="280" w:lineRule="atLeast"/>
              <w:jc w:val="center"/>
              <w:rPr>
                <w:rFonts w:eastAsia="Calibri" w:cs="Arial"/>
                <w:b/>
                <w:sz w:val="20"/>
                <w:szCs w:val="20"/>
                <w:lang w:val="en-CA"/>
              </w:rPr>
            </w:pPr>
            <w:r w:rsidRPr="003B7F7E">
              <w:rPr>
                <w:rFonts w:eastAsia="Calibri" w:cs="Arial"/>
                <w:b/>
                <w:sz w:val="20"/>
                <w:szCs w:val="20"/>
                <w:lang w:val="en-CA"/>
              </w:rPr>
              <w:t>Response</w:t>
            </w:r>
          </w:p>
        </w:tc>
      </w:tr>
      <w:tr w:rsidR="00A8147B" w:rsidRPr="003B7F7E" w14:paraId="0F2F609D" w14:textId="77777777" w:rsidTr="006054BD">
        <w:trPr>
          <w:jc w:val="center"/>
        </w:trPr>
        <w:tc>
          <w:tcPr>
            <w:tcW w:w="704" w:type="dxa"/>
            <w:tcBorders>
              <w:bottom w:val="single" w:sz="4" w:space="0" w:color="auto"/>
            </w:tcBorders>
          </w:tcPr>
          <w:p w14:paraId="74230893" w14:textId="77777777" w:rsidR="00A8147B" w:rsidRPr="003B7F7E" w:rsidRDefault="00A8147B" w:rsidP="004A376C">
            <w:pPr>
              <w:spacing w:after="240" w:line="280" w:lineRule="atLeast"/>
              <w:jc w:val="center"/>
              <w:rPr>
                <w:rFonts w:eastAsia="Calibri" w:cs="Arial"/>
                <w:sz w:val="20"/>
                <w:szCs w:val="20"/>
                <w:lang w:val="en-CA"/>
              </w:rPr>
            </w:pPr>
            <w:r w:rsidRPr="003B7F7E">
              <w:rPr>
                <w:rFonts w:eastAsia="Calibri" w:cs="Arial"/>
                <w:sz w:val="20"/>
                <w:szCs w:val="20"/>
                <w:lang w:val="en-CA"/>
              </w:rPr>
              <w:t>Q1</w:t>
            </w:r>
          </w:p>
        </w:tc>
        <w:tc>
          <w:tcPr>
            <w:tcW w:w="4394" w:type="dxa"/>
            <w:tcBorders>
              <w:bottom w:val="single" w:sz="4" w:space="0" w:color="auto"/>
            </w:tcBorders>
            <w:shd w:val="clear" w:color="auto" w:fill="auto"/>
          </w:tcPr>
          <w:p w14:paraId="7F0CEA0E" w14:textId="77777777" w:rsidR="00A8147B" w:rsidRPr="003B7F7E" w:rsidRDefault="00A8147B" w:rsidP="00C820B1">
            <w:pPr>
              <w:spacing w:after="240" w:line="280" w:lineRule="atLeast"/>
              <w:rPr>
                <w:rFonts w:eastAsia="Calibri" w:cs="Arial"/>
                <w:sz w:val="20"/>
                <w:szCs w:val="20"/>
                <w:lang w:val="en-CA"/>
              </w:rPr>
            </w:pPr>
            <w:r w:rsidRPr="003B7F7E">
              <w:rPr>
                <w:rFonts w:eastAsia="Calibri" w:cs="Arial"/>
                <w:sz w:val="20"/>
                <w:szCs w:val="20"/>
                <w:lang w:val="en-CA"/>
              </w:rPr>
              <w:t>Please provide a brief description of your organization</w:t>
            </w:r>
            <w:r w:rsidR="008200B5" w:rsidRPr="003B7F7E">
              <w:rPr>
                <w:rFonts w:eastAsia="Calibri" w:cs="Arial"/>
                <w:sz w:val="20"/>
                <w:szCs w:val="20"/>
                <w:lang w:val="en-CA"/>
              </w:rPr>
              <w:t xml:space="preserve"> (100 words or less)</w:t>
            </w:r>
            <w:r w:rsidRPr="003B7F7E">
              <w:rPr>
                <w:rFonts w:eastAsia="Calibri" w:cs="Arial"/>
                <w:sz w:val="20"/>
                <w:szCs w:val="20"/>
                <w:lang w:val="en-CA"/>
              </w:rPr>
              <w:t>.  Your response could also include any experience you have in responding or working with QBS RFP</w:t>
            </w:r>
            <w:r w:rsidR="008200B5" w:rsidRPr="003B7F7E">
              <w:rPr>
                <w:rFonts w:eastAsia="Calibri" w:cs="Arial"/>
                <w:sz w:val="20"/>
                <w:szCs w:val="20"/>
                <w:lang w:val="en-CA"/>
              </w:rPr>
              <w:t>’</w:t>
            </w:r>
            <w:r w:rsidRPr="003B7F7E">
              <w:rPr>
                <w:rFonts w:eastAsia="Calibri" w:cs="Arial"/>
                <w:sz w:val="20"/>
                <w:szCs w:val="20"/>
                <w:lang w:val="en-CA"/>
              </w:rPr>
              <w:t xml:space="preserve">s.  </w:t>
            </w:r>
            <w:r w:rsidR="00C820B1" w:rsidRPr="003B7F7E">
              <w:rPr>
                <w:rFonts w:eastAsia="Calibri" w:cs="Arial"/>
                <w:sz w:val="20"/>
                <w:szCs w:val="20"/>
                <w:lang w:val="en-CA"/>
              </w:rPr>
              <w:t>Also, b</w:t>
            </w:r>
            <w:proofErr w:type="spellStart"/>
            <w:r w:rsidR="00C820B1" w:rsidRPr="003B7F7E">
              <w:rPr>
                <w:rFonts w:cs="Arial"/>
                <w:sz w:val="20"/>
                <w:szCs w:val="20"/>
              </w:rPr>
              <w:t>ased</w:t>
            </w:r>
            <w:proofErr w:type="spellEnd"/>
            <w:r w:rsidR="00C820B1" w:rsidRPr="003B7F7E">
              <w:rPr>
                <w:rFonts w:cs="Arial"/>
                <w:sz w:val="20"/>
                <w:szCs w:val="20"/>
              </w:rPr>
              <w:t xml:space="preserve"> on the definition of a diverse supplier (see section 4.), do you meet the criteria to qualify as a diverse supplier? </w:t>
            </w:r>
            <w:r w:rsidRPr="003B7F7E">
              <w:rPr>
                <w:rFonts w:eastAsia="Calibri" w:cs="Arial"/>
                <w:sz w:val="20"/>
                <w:szCs w:val="20"/>
                <w:lang w:val="en-CA"/>
              </w:rPr>
              <w:t>Include the name, mailing address, phone number, and email of a designated contact.</w:t>
            </w:r>
          </w:p>
        </w:tc>
        <w:tc>
          <w:tcPr>
            <w:tcW w:w="4274" w:type="dxa"/>
            <w:tcBorders>
              <w:bottom w:val="single" w:sz="4" w:space="0" w:color="auto"/>
            </w:tcBorders>
          </w:tcPr>
          <w:p w14:paraId="2D7C28A0" w14:textId="77777777" w:rsidR="00A8147B" w:rsidRPr="003B7F7E" w:rsidRDefault="00A8147B" w:rsidP="004A376C">
            <w:pPr>
              <w:spacing w:after="240" w:line="280" w:lineRule="atLeast"/>
              <w:rPr>
                <w:rFonts w:eastAsia="Calibri" w:cs="Arial"/>
                <w:sz w:val="20"/>
                <w:szCs w:val="20"/>
                <w:lang w:val="en-CA"/>
              </w:rPr>
            </w:pPr>
            <w:r w:rsidRPr="003B7F7E">
              <w:rPr>
                <w:rFonts w:eastAsia="Calibri" w:cs="Arial"/>
                <w:sz w:val="20"/>
                <w:szCs w:val="20"/>
                <w:lang w:val="en-CA"/>
              </w:rPr>
              <w:t>R1</w:t>
            </w:r>
            <w:bookmarkStart w:id="0" w:name="_GoBack"/>
            <w:bookmarkEnd w:id="0"/>
          </w:p>
        </w:tc>
      </w:tr>
      <w:tr w:rsidR="006054BD" w:rsidRPr="003B7F7E" w14:paraId="5E3FC207" w14:textId="77777777" w:rsidTr="00B2685B">
        <w:trPr>
          <w:jc w:val="center"/>
        </w:trPr>
        <w:tc>
          <w:tcPr>
            <w:tcW w:w="93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79A1C63" w14:textId="77777777" w:rsidR="006054BD" w:rsidRPr="003B7F7E" w:rsidRDefault="006054BD" w:rsidP="004A376C">
            <w:pPr>
              <w:spacing w:after="240" w:line="280" w:lineRule="atLeast"/>
              <w:rPr>
                <w:rFonts w:eastAsia="Calibri" w:cs="Arial"/>
                <w:sz w:val="20"/>
                <w:szCs w:val="20"/>
                <w:lang w:val="en-CA"/>
              </w:rPr>
            </w:pPr>
            <w:r w:rsidRPr="003B7F7E">
              <w:rPr>
                <w:rFonts w:eastAsia="Calibri" w:cs="Arial"/>
                <w:sz w:val="20"/>
                <w:szCs w:val="20"/>
                <w:lang w:val="en-CA"/>
              </w:rPr>
              <w:t>Quality Based Selection Model</w:t>
            </w:r>
          </w:p>
        </w:tc>
      </w:tr>
      <w:tr w:rsidR="00A8147B" w:rsidRPr="003B7F7E" w14:paraId="0C853CF2" w14:textId="77777777" w:rsidTr="006054BD">
        <w:trPr>
          <w:jc w:val="center"/>
        </w:trPr>
        <w:tc>
          <w:tcPr>
            <w:tcW w:w="704" w:type="dxa"/>
            <w:tcBorders>
              <w:top w:val="single" w:sz="4" w:space="0" w:color="auto"/>
            </w:tcBorders>
          </w:tcPr>
          <w:p w14:paraId="4F036BFF" w14:textId="77777777" w:rsidR="00A8147B" w:rsidRPr="003B7F7E" w:rsidRDefault="00A8147B" w:rsidP="004A376C">
            <w:pPr>
              <w:spacing w:after="240" w:line="280" w:lineRule="atLeast"/>
              <w:jc w:val="center"/>
              <w:rPr>
                <w:rFonts w:eastAsia="Calibri" w:cs="Arial"/>
                <w:sz w:val="20"/>
                <w:szCs w:val="20"/>
                <w:lang w:val="en-CA"/>
              </w:rPr>
            </w:pPr>
            <w:r w:rsidRPr="003B7F7E">
              <w:rPr>
                <w:rFonts w:eastAsia="Calibri" w:cs="Arial"/>
                <w:sz w:val="20"/>
                <w:szCs w:val="20"/>
                <w:lang w:val="en-CA"/>
              </w:rPr>
              <w:t>Q2</w:t>
            </w:r>
          </w:p>
        </w:tc>
        <w:tc>
          <w:tcPr>
            <w:tcW w:w="4394" w:type="dxa"/>
            <w:tcBorders>
              <w:top w:val="single" w:sz="4" w:space="0" w:color="auto"/>
            </w:tcBorders>
          </w:tcPr>
          <w:p w14:paraId="5152ED3A" w14:textId="7C28B60F" w:rsidR="00A8147B" w:rsidRPr="003B7F7E" w:rsidRDefault="00A8147B" w:rsidP="002639CC">
            <w:pPr>
              <w:spacing w:after="240" w:line="280" w:lineRule="atLeast"/>
              <w:rPr>
                <w:rFonts w:eastAsia="Calibri" w:cs="Arial"/>
                <w:sz w:val="20"/>
                <w:szCs w:val="20"/>
                <w:lang w:val="en-CA"/>
              </w:rPr>
            </w:pPr>
            <w:r w:rsidRPr="003B7F7E">
              <w:rPr>
                <w:rFonts w:eastAsia="Calibri" w:cs="Arial"/>
                <w:sz w:val="20"/>
                <w:szCs w:val="20"/>
                <w:lang w:val="en-CA"/>
              </w:rPr>
              <w:t xml:space="preserve">What </w:t>
            </w:r>
            <w:r w:rsidR="00BB58B5" w:rsidRPr="003B7F7E">
              <w:rPr>
                <w:rFonts w:eastAsia="Calibri" w:cs="Arial"/>
                <w:sz w:val="20"/>
                <w:szCs w:val="20"/>
                <w:lang w:val="en-CA"/>
              </w:rPr>
              <w:t xml:space="preserve">advantages or </w:t>
            </w:r>
            <w:r w:rsidRPr="003B7F7E">
              <w:rPr>
                <w:rFonts w:eastAsia="Calibri" w:cs="Arial"/>
                <w:sz w:val="20"/>
                <w:szCs w:val="20"/>
                <w:lang w:val="en-CA"/>
              </w:rPr>
              <w:t>disadvantages</w:t>
            </w:r>
            <w:r w:rsidR="008200B5" w:rsidRPr="003B7F7E">
              <w:rPr>
                <w:rFonts w:eastAsia="Calibri" w:cs="Arial"/>
                <w:sz w:val="20"/>
                <w:szCs w:val="20"/>
                <w:lang w:val="en-CA"/>
              </w:rPr>
              <w:t xml:space="preserve"> </w:t>
            </w:r>
            <w:r w:rsidRPr="003B7F7E">
              <w:rPr>
                <w:rFonts w:eastAsia="Calibri" w:cs="Arial"/>
                <w:sz w:val="20"/>
                <w:szCs w:val="20"/>
                <w:lang w:val="en-CA"/>
              </w:rPr>
              <w:t>does the QBS method present in the selection of a Design Consultant?</w:t>
            </w:r>
            <w:r w:rsidR="00790744" w:rsidRPr="003B7F7E">
              <w:rPr>
                <w:rFonts w:eastAsia="Calibri" w:cs="Arial"/>
                <w:sz w:val="20"/>
                <w:szCs w:val="20"/>
                <w:lang w:val="en-CA"/>
              </w:rPr>
              <w:t xml:space="preserve"> </w:t>
            </w:r>
            <w:r w:rsidR="002639CC" w:rsidRPr="003B7F7E">
              <w:rPr>
                <w:rFonts w:eastAsia="Calibri" w:cs="Arial"/>
                <w:sz w:val="20"/>
                <w:szCs w:val="20"/>
                <w:lang w:val="en-CA"/>
              </w:rPr>
              <w:t xml:space="preserve">What advantages or disadvantages does the current model </w:t>
            </w:r>
            <w:r w:rsidR="00043508" w:rsidRPr="003B7F7E">
              <w:rPr>
                <w:rFonts w:eastAsia="Calibri" w:cs="Arial"/>
                <w:sz w:val="20"/>
                <w:szCs w:val="20"/>
                <w:lang w:val="en-CA"/>
              </w:rPr>
              <w:t xml:space="preserve">(using 90% technical and 10% cost) </w:t>
            </w:r>
            <w:r w:rsidR="002639CC" w:rsidRPr="003B7F7E">
              <w:rPr>
                <w:rFonts w:eastAsia="Calibri" w:cs="Arial"/>
                <w:sz w:val="20"/>
                <w:szCs w:val="20"/>
                <w:lang w:val="en-CA"/>
              </w:rPr>
              <w:t>present in the selection of a Design Consultant? Would you recommend any other options?</w:t>
            </w:r>
          </w:p>
        </w:tc>
        <w:tc>
          <w:tcPr>
            <w:tcW w:w="4274" w:type="dxa"/>
            <w:tcBorders>
              <w:top w:val="single" w:sz="4" w:space="0" w:color="auto"/>
            </w:tcBorders>
          </w:tcPr>
          <w:p w14:paraId="7563B0DE" w14:textId="77777777" w:rsidR="00A8147B" w:rsidRPr="003B7F7E" w:rsidRDefault="00A8147B" w:rsidP="004A376C">
            <w:pPr>
              <w:spacing w:after="240" w:line="280" w:lineRule="atLeast"/>
              <w:rPr>
                <w:rFonts w:eastAsia="Calibri" w:cs="Arial"/>
                <w:sz w:val="20"/>
                <w:szCs w:val="20"/>
                <w:lang w:val="en-CA"/>
              </w:rPr>
            </w:pPr>
            <w:r w:rsidRPr="003B7F7E">
              <w:rPr>
                <w:rFonts w:eastAsia="Calibri" w:cs="Arial"/>
                <w:sz w:val="20"/>
                <w:szCs w:val="20"/>
                <w:lang w:val="en-CA"/>
              </w:rPr>
              <w:t>R2</w:t>
            </w:r>
          </w:p>
        </w:tc>
      </w:tr>
      <w:tr w:rsidR="005D146A" w:rsidRPr="003B7F7E" w14:paraId="38C51679" w14:textId="77777777" w:rsidTr="006054BD">
        <w:trPr>
          <w:jc w:val="center"/>
        </w:trPr>
        <w:tc>
          <w:tcPr>
            <w:tcW w:w="704" w:type="dxa"/>
          </w:tcPr>
          <w:p w14:paraId="6E7FD2F9" w14:textId="77777777" w:rsidR="005D146A" w:rsidRPr="003B7F7E" w:rsidRDefault="005D146A" w:rsidP="004A376C">
            <w:pPr>
              <w:spacing w:after="240" w:line="280" w:lineRule="atLeast"/>
              <w:jc w:val="center"/>
              <w:rPr>
                <w:rFonts w:eastAsia="Calibri" w:cs="Arial"/>
                <w:sz w:val="20"/>
                <w:szCs w:val="20"/>
                <w:lang w:val="en-CA"/>
              </w:rPr>
            </w:pPr>
            <w:r w:rsidRPr="003B7F7E">
              <w:rPr>
                <w:rFonts w:eastAsia="Calibri" w:cs="Arial"/>
                <w:sz w:val="20"/>
                <w:szCs w:val="20"/>
                <w:lang w:val="en-CA"/>
              </w:rPr>
              <w:t>Q3</w:t>
            </w:r>
          </w:p>
        </w:tc>
        <w:tc>
          <w:tcPr>
            <w:tcW w:w="4394" w:type="dxa"/>
          </w:tcPr>
          <w:p w14:paraId="38CD8A1A" w14:textId="77777777" w:rsidR="005D146A" w:rsidRPr="003B7F7E" w:rsidRDefault="005D146A" w:rsidP="004A376C">
            <w:pPr>
              <w:spacing w:after="240" w:line="280" w:lineRule="atLeast"/>
              <w:rPr>
                <w:rFonts w:eastAsia="Calibri" w:cs="Arial"/>
                <w:sz w:val="20"/>
                <w:szCs w:val="20"/>
                <w:lang w:val="en-CA"/>
              </w:rPr>
            </w:pPr>
            <w:r w:rsidRPr="003B7F7E">
              <w:rPr>
                <w:rFonts w:eastAsia="Calibri" w:cs="Arial"/>
                <w:sz w:val="20"/>
                <w:szCs w:val="20"/>
                <w:lang w:val="en-CA"/>
              </w:rPr>
              <w:t xml:space="preserve">Is there potential for QBS to have a </w:t>
            </w:r>
            <w:r w:rsidR="00BB58B5" w:rsidRPr="003B7F7E">
              <w:rPr>
                <w:rFonts w:eastAsia="Calibri" w:cs="Arial"/>
                <w:sz w:val="20"/>
                <w:szCs w:val="20"/>
                <w:lang w:val="en-CA"/>
              </w:rPr>
              <w:t>positive/</w:t>
            </w:r>
            <w:r w:rsidRPr="003B7F7E">
              <w:rPr>
                <w:rFonts w:eastAsia="Calibri" w:cs="Arial"/>
                <w:sz w:val="20"/>
                <w:szCs w:val="20"/>
                <w:lang w:val="en-CA"/>
              </w:rPr>
              <w:t xml:space="preserve">negative impact on the ability to support small and medium enterprises in the real property design Industry?  </w:t>
            </w:r>
          </w:p>
        </w:tc>
        <w:tc>
          <w:tcPr>
            <w:tcW w:w="4274" w:type="dxa"/>
          </w:tcPr>
          <w:p w14:paraId="4037D3CC" w14:textId="77777777" w:rsidR="00E27A42" w:rsidRPr="003B7F7E" w:rsidRDefault="00E27A42" w:rsidP="004A376C">
            <w:pPr>
              <w:spacing w:after="240" w:line="280" w:lineRule="atLeast"/>
              <w:rPr>
                <w:rFonts w:eastAsia="Calibri" w:cs="Arial"/>
                <w:sz w:val="20"/>
                <w:szCs w:val="20"/>
                <w:lang w:val="en-CA"/>
              </w:rPr>
            </w:pPr>
            <w:r w:rsidRPr="003B7F7E">
              <w:rPr>
                <w:rFonts w:eastAsia="Calibri" w:cs="Arial"/>
                <w:sz w:val="20"/>
                <w:szCs w:val="20"/>
                <w:lang w:val="en-CA"/>
              </w:rPr>
              <w:t>R3</w:t>
            </w:r>
          </w:p>
        </w:tc>
      </w:tr>
      <w:tr w:rsidR="006054BD" w:rsidRPr="003B7F7E" w14:paraId="1B40166E" w14:textId="77777777" w:rsidTr="006054BD">
        <w:trPr>
          <w:jc w:val="center"/>
        </w:trPr>
        <w:tc>
          <w:tcPr>
            <w:tcW w:w="704" w:type="dxa"/>
          </w:tcPr>
          <w:p w14:paraId="7BFBDFDE" w14:textId="77777777" w:rsidR="006054BD" w:rsidRPr="003B7F7E" w:rsidRDefault="006054BD" w:rsidP="0053231F">
            <w:pPr>
              <w:spacing w:after="240" w:line="280" w:lineRule="atLeast"/>
              <w:jc w:val="center"/>
              <w:rPr>
                <w:rFonts w:eastAsia="Calibri" w:cs="Arial"/>
                <w:sz w:val="20"/>
                <w:szCs w:val="20"/>
                <w:lang w:val="en-CA"/>
              </w:rPr>
            </w:pPr>
            <w:r w:rsidRPr="003B7F7E">
              <w:rPr>
                <w:rFonts w:eastAsia="Calibri" w:cs="Arial"/>
                <w:sz w:val="20"/>
                <w:szCs w:val="20"/>
                <w:lang w:val="en-CA"/>
              </w:rPr>
              <w:t>Q</w:t>
            </w:r>
            <w:r w:rsidR="0053231F" w:rsidRPr="003B7F7E">
              <w:rPr>
                <w:rFonts w:eastAsia="Calibri" w:cs="Arial"/>
                <w:sz w:val="20"/>
                <w:szCs w:val="20"/>
                <w:lang w:val="en-CA"/>
              </w:rPr>
              <w:t>4</w:t>
            </w:r>
          </w:p>
        </w:tc>
        <w:tc>
          <w:tcPr>
            <w:tcW w:w="4394" w:type="dxa"/>
          </w:tcPr>
          <w:p w14:paraId="08C84588" w14:textId="338AF9A6" w:rsidR="006054BD" w:rsidRPr="003B7F7E" w:rsidRDefault="006054BD" w:rsidP="006054BD">
            <w:pPr>
              <w:spacing w:after="240" w:line="280" w:lineRule="atLeast"/>
              <w:rPr>
                <w:rFonts w:cs="Arial"/>
                <w:sz w:val="20"/>
                <w:szCs w:val="20"/>
              </w:rPr>
            </w:pPr>
            <w:r w:rsidRPr="003B7F7E">
              <w:rPr>
                <w:rFonts w:eastAsia="Calibri" w:cs="Arial"/>
                <w:sz w:val="20"/>
                <w:szCs w:val="20"/>
                <w:lang w:val="en-CA"/>
              </w:rPr>
              <w:t>PSPC’s intention is to only issue Phase 2 of the RFP to the three highest responsive bidders.  The highest responsive bidder would provide PSPC a fee proposal to initiate negotiations; if this negotiation fails PSPC then begins negotiations with the second highest responsive bidder. What are your views?</w:t>
            </w:r>
            <w:r w:rsidR="00A1598A" w:rsidRPr="003B7F7E">
              <w:rPr>
                <w:rFonts w:eastAsia="Calibri" w:cs="Arial"/>
                <w:sz w:val="20"/>
                <w:szCs w:val="20"/>
                <w:lang w:val="en-CA"/>
              </w:rPr>
              <w:t xml:space="preserve">  Or would you prefer to eliminate Phase 2 in its entirety and have a single phase QBS process?</w:t>
            </w:r>
          </w:p>
        </w:tc>
        <w:tc>
          <w:tcPr>
            <w:tcW w:w="4274" w:type="dxa"/>
          </w:tcPr>
          <w:p w14:paraId="06202BE1" w14:textId="77777777" w:rsidR="006054BD" w:rsidRPr="003B7F7E" w:rsidRDefault="00E0530B" w:rsidP="006054BD">
            <w:pPr>
              <w:spacing w:after="240" w:line="280" w:lineRule="atLeast"/>
              <w:rPr>
                <w:rFonts w:eastAsia="Calibri" w:cs="Arial"/>
                <w:sz w:val="20"/>
                <w:szCs w:val="20"/>
                <w:lang w:val="en-CA"/>
              </w:rPr>
            </w:pPr>
            <w:r w:rsidRPr="003B7F7E">
              <w:rPr>
                <w:rFonts w:eastAsia="Calibri" w:cs="Arial"/>
                <w:sz w:val="20"/>
                <w:szCs w:val="20"/>
                <w:lang w:val="en-CA"/>
              </w:rPr>
              <w:t>R4</w:t>
            </w:r>
          </w:p>
        </w:tc>
      </w:tr>
      <w:tr w:rsidR="006054BD" w:rsidRPr="003B7F7E" w14:paraId="20A7479F" w14:textId="77777777" w:rsidTr="006054BD">
        <w:trPr>
          <w:jc w:val="center"/>
        </w:trPr>
        <w:tc>
          <w:tcPr>
            <w:tcW w:w="704" w:type="dxa"/>
          </w:tcPr>
          <w:p w14:paraId="04A93C93" w14:textId="77777777" w:rsidR="006054BD" w:rsidRPr="003B7F7E" w:rsidRDefault="006054BD" w:rsidP="0053231F">
            <w:pPr>
              <w:spacing w:after="240" w:line="280" w:lineRule="atLeast"/>
              <w:jc w:val="center"/>
              <w:rPr>
                <w:rFonts w:eastAsia="Calibri" w:cs="Arial"/>
                <w:sz w:val="20"/>
                <w:szCs w:val="20"/>
                <w:lang w:val="en-CA"/>
              </w:rPr>
            </w:pPr>
            <w:r w:rsidRPr="003B7F7E">
              <w:rPr>
                <w:rFonts w:eastAsia="Calibri" w:cs="Arial"/>
                <w:sz w:val="20"/>
                <w:szCs w:val="20"/>
                <w:lang w:val="en-CA"/>
              </w:rPr>
              <w:t>Q</w:t>
            </w:r>
            <w:r w:rsidR="0053231F" w:rsidRPr="003B7F7E">
              <w:rPr>
                <w:rFonts w:eastAsia="Calibri" w:cs="Arial"/>
                <w:sz w:val="20"/>
                <w:szCs w:val="20"/>
                <w:lang w:val="en-CA"/>
              </w:rPr>
              <w:t>5</w:t>
            </w:r>
          </w:p>
        </w:tc>
        <w:tc>
          <w:tcPr>
            <w:tcW w:w="4394" w:type="dxa"/>
          </w:tcPr>
          <w:p w14:paraId="6B85993C" w14:textId="77777777" w:rsidR="006054BD" w:rsidRPr="003B7F7E" w:rsidRDefault="006054BD" w:rsidP="006054BD">
            <w:pPr>
              <w:spacing w:after="240" w:line="280" w:lineRule="atLeast"/>
              <w:contextualSpacing/>
              <w:rPr>
                <w:rFonts w:eastAsia="Calibri" w:cs="Arial"/>
                <w:sz w:val="20"/>
                <w:szCs w:val="20"/>
                <w:lang w:val="en-CA"/>
              </w:rPr>
            </w:pPr>
            <w:r w:rsidRPr="003B7F7E">
              <w:rPr>
                <w:rFonts w:eastAsia="Calibri" w:cs="Arial"/>
                <w:sz w:val="20"/>
                <w:szCs w:val="20"/>
                <w:lang w:val="en-CA"/>
              </w:rPr>
              <w:t xml:space="preserve">How would the initial cost of design, due to innovations and improvements to Scope/TOR, </w:t>
            </w:r>
            <w:r w:rsidRPr="003B7F7E">
              <w:rPr>
                <w:rFonts w:eastAsia="Calibri" w:cs="Arial"/>
                <w:sz w:val="20"/>
                <w:szCs w:val="20"/>
                <w:lang w:val="en-CA"/>
              </w:rPr>
              <w:lastRenderedPageBreak/>
              <w:t>be outweighed by final project performance that results from good design solutions (costs, schedule and quality)?</w:t>
            </w:r>
          </w:p>
          <w:p w14:paraId="7F5477B9" w14:textId="77777777" w:rsidR="006054BD" w:rsidRPr="003B7F7E" w:rsidRDefault="006054BD" w:rsidP="006054BD">
            <w:pPr>
              <w:spacing w:after="240" w:line="280" w:lineRule="atLeast"/>
              <w:rPr>
                <w:rFonts w:cs="Arial"/>
                <w:sz w:val="20"/>
                <w:szCs w:val="20"/>
                <w:lang w:val="en-CA"/>
              </w:rPr>
            </w:pPr>
          </w:p>
        </w:tc>
        <w:tc>
          <w:tcPr>
            <w:tcW w:w="4274" w:type="dxa"/>
          </w:tcPr>
          <w:p w14:paraId="6681E7D2" w14:textId="77777777" w:rsidR="006054BD" w:rsidRPr="003B7F7E" w:rsidRDefault="00E0530B" w:rsidP="006054BD">
            <w:pPr>
              <w:spacing w:after="240" w:line="280" w:lineRule="atLeast"/>
              <w:rPr>
                <w:rFonts w:eastAsia="Calibri" w:cs="Arial"/>
                <w:sz w:val="20"/>
                <w:szCs w:val="20"/>
                <w:lang w:val="en-CA"/>
              </w:rPr>
            </w:pPr>
            <w:r w:rsidRPr="003B7F7E">
              <w:rPr>
                <w:rFonts w:eastAsia="Calibri" w:cs="Arial"/>
                <w:sz w:val="20"/>
                <w:szCs w:val="20"/>
                <w:lang w:val="en-CA"/>
              </w:rPr>
              <w:lastRenderedPageBreak/>
              <w:t>R5</w:t>
            </w:r>
          </w:p>
        </w:tc>
      </w:tr>
      <w:tr w:rsidR="00A8147B" w:rsidRPr="003B7F7E" w14:paraId="7F0B454C" w14:textId="77777777" w:rsidTr="006054BD">
        <w:trPr>
          <w:jc w:val="center"/>
        </w:trPr>
        <w:tc>
          <w:tcPr>
            <w:tcW w:w="704" w:type="dxa"/>
          </w:tcPr>
          <w:p w14:paraId="4C735A8E" w14:textId="77777777" w:rsidR="00A8147B" w:rsidRPr="003B7F7E" w:rsidRDefault="005D146A" w:rsidP="0053231F">
            <w:pPr>
              <w:spacing w:after="240" w:line="280" w:lineRule="atLeast"/>
              <w:jc w:val="center"/>
              <w:rPr>
                <w:rFonts w:eastAsia="Calibri" w:cs="Arial"/>
                <w:sz w:val="20"/>
                <w:szCs w:val="20"/>
                <w:lang w:val="en-CA"/>
              </w:rPr>
            </w:pPr>
            <w:r w:rsidRPr="003B7F7E">
              <w:rPr>
                <w:rFonts w:eastAsia="Calibri" w:cs="Arial"/>
                <w:sz w:val="20"/>
                <w:szCs w:val="20"/>
                <w:lang w:val="en-CA"/>
              </w:rPr>
              <w:t>Q</w:t>
            </w:r>
            <w:r w:rsidR="0053231F" w:rsidRPr="003B7F7E">
              <w:rPr>
                <w:rFonts w:eastAsia="Calibri" w:cs="Arial"/>
                <w:sz w:val="20"/>
                <w:szCs w:val="20"/>
                <w:lang w:val="en-CA"/>
              </w:rPr>
              <w:t>6</w:t>
            </w:r>
          </w:p>
        </w:tc>
        <w:tc>
          <w:tcPr>
            <w:tcW w:w="4394" w:type="dxa"/>
          </w:tcPr>
          <w:p w14:paraId="0065D17B" w14:textId="77777777" w:rsidR="00A8147B" w:rsidRPr="003B7F7E" w:rsidRDefault="00A8147B" w:rsidP="004A376C">
            <w:pPr>
              <w:spacing w:after="240" w:line="280" w:lineRule="atLeast"/>
              <w:rPr>
                <w:rFonts w:eastAsia="Calibri" w:cs="Arial"/>
                <w:sz w:val="20"/>
                <w:szCs w:val="20"/>
                <w:lang w:val="en-CA"/>
              </w:rPr>
            </w:pPr>
            <w:r w:rsidRPr="003B7F7E">
              <w:rPr>
                <w:rFonts w:eastAsia="Calibri" w:cs="Arial"/>
                <w:sz w:val="20"/>
                <w:szCs w:val="20"/>
                <w:lang w:val="en-CA"/>
              </w:rPr>
              <w:t>What type of project (or project characteristics) would most benefit from the QBS method?  What type of project (or project characteristics) would benefit the least from the QBS method?</w:t>
            </w:r>
          </w:p>
        </w:tc>
        <w:tc>
          <w:tcPr>
            <w:tcW w:w="4274" w:type="dxa"/>
          </w:tcPr>
          <w:p w14:paraId="5D2211A1" w14:textId="77777777" w:rsidR="00A8147B" w:rsidRPr="003B7F7E" w:rsidRDefault="00E0530B" w:rsidP="004A376C">
            <w:pPr>
              <w:spacing w:after="240" w:line="280" w:lineRule="atLeast"/>
              <w:rPr>
                <w:rFonts w:eastAsia="Calibri" w:cs="Arial"/>
                <w:sz w:val="20"/>
                <w:szCs w:val="20"/>
                <w:lang w:val="en-CA"/>
              </w:rPr>
            </w:pPr>
            <w:r w:rsidRPr="003B7F7E">
              <w:rPr>
                <w:rFonts w:eastAsia="Calibri" w:cs="Arial"/>
                <w:sz w:val="20"/>
                <w:szCs w:val="20"/>
                <w:lang w:val="en-CA"/>
              </w:rPr>
              <w:t>R6</w:t>
            </w:r>
          </w:p>
        </w:tc>
      </w:tr>
      <w:tr w:rsidR="00A8147B" w:rsidRPr="003B7F7E" w14:paraId="7ADE9474" w14:textId="77777777" w:rsidTr="006054BD">
        <w:trPr>
          <w:jc w:val="center"/>
        </w:trPr>
        <w:tc>
          <w:tcPr>
            <w:tcW w:w="704" w:type="dxa"/>
          </w:tcPr>
          <w:p w14:paraId="6E6E6DD7" w14:textId="77777777" w:rsidR="00A8147B" w:rsidRPr="003B7F7E" w:rsidRDefault="00A8147B" w:rsidP="0053231F">
            <w:pPr>
              <w:spacing w:after="240" w:line="280" w:lineRule="atLeast"/>
              <w:jc w:val="center"/>
              <w:rPr>
                <w:rFonts w:eastAsia="Calibri" w:cs="Arial"/>
                <w:sz w:val="20"/>
                <w:szCs w:val="20"/>
                <w:lang w:val="en-CA"/>
              </w:rPr>
            </w:pPr>
            <w:r w:rsidRPr="003B7F7E">
              <w:rPr>
                <w:rFonts w:eastAsia="Calibri" w:cs="Arial"/>
                <w:sz w:val="20"/>
                <w:szCs w:val="20"/>
                <w:lang w:val="en-CA"/>
              </w:rPr>
              <w:t>Q</w:t>
            </w:r>
            <w:r w:rsidR="0053231F" w:rsidRPr="003B7F7E">
              <w:rPr>
                <w:rFonts w:eastAsia="Calibri" w:cs="Arial"/>
                <w:sz w:val="20"/>
                <w:szCs w:val="20"/>
                <w:lang w:val="en-CA"/>
              </w:rPr>
              <w:t>7</w:t>
            </w:r>
          </w:p>
        </w:tc>
        <w:tc>
          <w:tcPr>
            <w:tcW w:w="4394" w:type="dxa"/>
          </w:tcPr>
          <w:p w14:paraId="1D78CD6A" w14:textId="6F36243B" w:rsidR="00A8147B" w:rsidRPr="003B7F7E" w:rsidRDefault="00BB58B5" w:rsidP="00D07424">
            <w:pPr>
              <w:spacing w:after="240" w:line="280" w:lineRule="atLeast"/>
              <w:rPr>
                <w:rFonts w:eastAsia="Calibri" w:cs="Arial"/>
                <w:sz w:val="20"/>
                <w:szCs w:val="20"/>
                <w:lang w:val="en-CA"/>
              </w:rPr>
            </w:pPr>
            <w:r w:rsidRPr="003B7F7E">
              <w:rPr>
                <w:rFonts w:eastAsia="Calibri" w:cs="Arial"/>
                <w:sz w:val="20"/>
                <w:szCs w:val="20"/>
                <w:lang w:val="en-CA"/>
              </w:rPr>
              <w:t xml:space="preserve">How could </w:t>
            </w:r>
            <w:r w:rsidR="00A8147B" w:rsidRPr="003B7F7E">
              <w:rPr>
                <w:rFonts w:eastAsia="Calibri" w:cs="Arial"/>
                <w:sz w:val="20"/>
                <w:szCs w:val="20"/>
                <w:lang w:val="en-CA"/>
              </w:rPr>
              <w:t xml:space="preserve">this process allow for the discussion of innovative ideas, alternative approaches, and new technologies </w:t>
            </w:r>
            <w:r w:rsidR="00D43A8B" w:rsidRPr="003B7F7E">
              <w:rPr>
                <w:rFonts w:eastAsia="Calibri" w:cs="Arial"/>
                <w:sz w:val="20"/>
                <w:szCs w:val="20"/>
                <w:lang w:val="en-CA"/>
              </w:rPr>
              <w:t>which should reduce life cycle costs</w:t>
            </w:r>
            <w:r w:rsidR="00A8147B" w:rsidRPr="003B7F7E">
              <w:rPr>
                <w:rFonts w:eastAsia="Calibri" w:cs="Arial"/>
                <w:sz w:val="20"/>
                <w:szCs w:val="20"/>
                <w:lang w:val="en-CA"/>
              </w:rPr>
              <w:t xml:space="preserve">? </w:t>
            </w:r>
            <w:r w:rsidR="00C90DF9" w:rsidRPr="003B7F7E">
              <w:rPr>
                <w:rFonts w:eastAsia="Calibri" w:cs="Arial"/>
                <w:sz w:val="20"/>
                <w:szCs w:val="20"/>
                <w:lang w:val="en-CA"/>
              </w:rPr>
              <w:t>C</w:t>
            </w:r>
            <w:r w:rsidR="00A8147B" w:rsidRPr="003B7F7E">
              <w:rPr>
                <w:rFonts w:eastAsia="Calibri" w:cs="Arial"/>
                <w:sz w:val="20"/>
                <w:szCs w:val="20"/>
                <w:lang w:val="en-CA"/>
              </w:rPr>
              <w:t xml:space="preserve">ould you provide </w:t>
            </w:r>
            <w:r w:rsidR="00783C9F" w:rsidRPr="003B7F7E">
              <w:rPr>
                <w:rFonts w:eastAsia="Calibri" w:cs="Arial"/>
                <w:sz w:val="20"/>
                <w:szCs w:val="20"/>
                <w:lang w:val="en-CA"/>
              </w:rPr>
              <w:t xml:space="preserve">an </w:t>
            </w:r>
            <w:r w:rsidR="00A8147B" w:rsidRPr="003B7F7E">
              <w:rPr>
                <w:rFonts w:eastAsia="Calibri" w:cs="Arial"/>
                <w:sz w:val="20"/>
                <w:szCs w:val="20"/>
                <w:lang w:val="en-CA"/>
              </w:rPr>
              <w:t>example and explain to which extent</w:t>
            </w:r>
            <w:r w:rsidR="00A8147B" w:rsidRPr="003B7F7E">
              <w:rPr>
                <w:sz w:val="20"/>
                <w:szCs w:val="20"/>
              </w:rPr>
              <w:t>?</w:t>
            </w:r>
            <w:r w:rsidR="00E543B1" w:rsidRPr="003B7F7E">
              <w:rPr>
                <w:sz w:val="20"/>
                <w:szCs w:val="20"/>
              </w:rPr>
              <w:t xml:space="preserve"> </w:t>
            </w:r>
            <w:r w:rsidR="00D07424" w:rsidRPr="003B7F7E">
              <w:rPr>
                <w:sz w:val="20"/>
                <w:szCs w:val="20"/>
              </w:rPr>
              <w:t>Furthermore, In the event that three firms bring forward very different solutions, how can we fairly assess proposals?</w:t>
            </w:r>
          </w:p>
        </w:tc>
        <w:tc>
          <w:tcPr>
            <w:tcW w:w="4274" w:type="dxa"/>
          </w:tcPr>
          <w:p w14:paraId="3E6D1C2C" w14:textId="77777777" w:rsidR="00A8147B" w:rsidRPr="003B7F7E" w:rsidRDefault="00E0530B" w:rsidP="004A376C">
            <w:pPr>
              <w:spacing w:after="240" w:line="280" w:lineRule="atLeast"/>
              <w:rPr>
                <w:rFonts w:eastAsia="Calibri" w:cs="Arial"/>
                <w:sz w:val="20"/>
                <w:szCs w:val="20"/>
                <w:lang w:val="en-CA"/>
              </w:rPr>
            </w:pPr>
            <w:r w:rsidRPr="003B7F7E">
              <w:rPr>
                <w:rFonts w:eastAsia="Calibri" w:cs="Arial"/>
                <w:sz w:val="20"/>
                <w:szCs w:val="20"/>
                <w:lang w:val="en-CA"/>
              </w:rPr>
              <w:t>R7</w:t>
            </w:r>
          </w:p>
        </w:tc>
      </w:tr>
      <w:tr w:rsidR="0022578B" w:rsidRPr="003B7F7E" w14:paraId="1F304DBA" w14:textId="77777777" w:rsidTr="006054BD">
        <w:trPr>
          <w:jc w:val="center"/>
        </w:trPr>
        <w:tc>
          <w:tcPr>
            <w:tcW w:w="704" w:type="dxa"/>
          </w:tcPr>
          <w:p w14:paraId="47F2297D" w14:textId="77777777" w:rsidR="0022578B" w:rsidRPr="003B7F7E" w:rsidRDefault="0022578B" w:rsidP="0053231F">
            <w:pPr>
              <w:spacing w:after="240" w:line="280" w:lineRule="atLeast"/>
              <w:jc w:val="center"/>
              <w:rPr>
                <w:rFonts w:eastAsia="Calibri" w:cs="Arial"/>
                <w:sz w:val="20"/>
                <w:szCs w:val="20"/>
                <w:lang w:val="en-CA"/>
              </w:rPr>
            </w:pPr>
            <w:r w:rsidRPr="003B7F7E">
              <w:rPr>
                <w:rFonts w:eastAsia="Calibri" w:cs="Arial"/>
                <w:sz w:val="20"/>
                <w:szCs w:val="20"/>
                <w:lang w:val="en-CA"/>
              </w:rPr>
              <w:t>Q</w:t>
            </w:r>
            <w:r w:rsidR="0053231F" w:rsidRPr="003B7F7E">
              <w:rPr>
                <w:rFonts w:eastAsia="Calibri" w:cs="Arial"/>
                <w:sz w:val="20"/>
                <w:szCs w:val="20"/>
                <w:lang w:val="en-CA"/>
              </w:rPr>
              <w:t>8</w:t>
            </w:r>
          </w:p>
        </w:tc>
        <w:tc>
          <w:tcPr>
            <w:tcW w:w="4394" w:type="dxa"/>
          </w:tcPr>
          <w:p w14:paraId="302E8A49" w14:textId="77777777" w:rsidR="0022578B" w:rsidRPr="003B7F7E" w:rsidRDefault="00D43A8B" w:rsidP="00D43A8B">
            <w:pPr>
              <w:autoSpaceDE w:val="0"/>
              <w:autoSpaceDN w:val="0"/>
              <w:spacing w:after="240" w:line="280" w:lineRule="atLeast"/>
              <w:rPr>
                <w:rFonts w:eastAsia="Calibri" w:cs="Arial"/>
                <w:sz w:val="20"/>
                <w:szCs w:val="20"/>
                <w:lang w:val="en-CA"/>
              </w:rPr>
            </w:pPr>
            <w:r w:rsidRPr="003B7F7E">
              <w:rPr>
                <w:rFonts w:eastAsia="Calibri" w:cs="Arial"/>
                <w:sz w:val="20"/>
                <w:szCs w:val="20"/>
                <w:lang w:val="en-CA"/>
              </w:rPr>
              <w:t>Would oral presentations be valuable to validate the content of the submissions presented in Phase II? How do we ensure this is a success?</w:t>
            </w:r>
          </w:p>
        </w:tc>
        <w:tc>
          <w:tcPr>
            <w:tcW w:w="4274" w:type="dxa"/>
          </w:tcPr>
          <w:p w14:paraId="047BDF40" w14:textId="77777777" w:rsidR="00884ED3" w:rsidRPr="003B7F7E" w:rsidRDefault="00E91D37" w:rsidP="004A376C">
            <w:pPr>
              <w:spacing w:after="240" w:line="280" w:lineRule="atLeast"/>
              <w:rPr>
                <w:rFonts w:eastAsia="Calibri" w:cs="Arial"/>
                <w:sz w:val="20"/>
                <w:szCs w:val="20"/>
                <w:lang w:val="en-CA"/>
              </w:rPr>
            </w:pPr>
            <w:r w:rsidRPr="003B7F7E">
              <w:rPr>
                <w:rFonts w:eastAsia="Calibri" w:cs="Arial"/>
                <w:sz w:val="20"/>
                <w:szCs w:val="20"/>
                <w:lang w:val="en-CA"/>
              </w:rPr>
              <w:t>R</w:t>
            </w:r>
            <w:r w:rsidR="00E0530B" w:rsidRPr="003B7F7E">
              <w:rPr>
                <w:rFonts w:eastAsia="Calibri" w:cs="Arial"/>
                <w:sz w:val="20"/>
                <w:szCs w:val="20"/>
                <w:lang w:val="en-CA"/>
              </w:rPr>
              <w:t>8</w:t>
            </w:r>
          </w:p>
        </w:tc>
      </w:tr>
      <w:tr w:rsidR="006054BD" w:rsidRPr="003B7F7E" w14:paraId="0A49998E" w14:textId="77777777" w:rsidTr="006054BD">
        <w:trPr>
          <w:jc w:val="center"/>
        </w:trPr>
        <w:tc>
          <w:tcPr>
            <w:tcW w:w="704" w:type="dxa"/>
          </w:tcPr>
          <w:p w14:paraId="1B22AA3F" w14:textId="77777777" w:rsidR="006054BD" w:rsidRPr="003B7F7E" w:rsidRDefault="006054BD" w:rsidP="0053231F">
            <w:pPr>
              <w:spacing w:after="240" w:line="280" w:lineRule="atLeast"/>
              <w:jc w:val="center"/>
              <w:rPr>
                <w:rFonts w:eastAsia="Calibri" w:cs="Arial"/>
                <w:sz w:val="20"/>
                <w:szCs w:val="20"/>
                <w:lang w:val="en-CA"/>
              </w:rPr>
            </w:pPr>
            <w:r w:rsidRPr="003B7F7E">
              <w:rPr>
                <w:rFonts w:eastAsia="Calibri" w:cs="Arial"/>
                <w:sz w:val="20"/>
                <w:szCs w:val="20"/>
                <w:lang w:val="en-CA"/>
              </w:rPr>
              <w:t>Q</w:t>
            </w:r>
            <w:r w:rsidR="0053231F" w:rsidRPr="003B7F7E">
              <w:rPr>
                <w:rFonts w:eastAsia="Calibri" w:cs="Arial"/>
                <w:sz w:val="20"/>
                <w:szCs w:val="20"/>
                <w:lang w:val="en-CA"/>
              </w:rPr>
              <w:t>9</w:t>
            </w:r>
          </w:p>
        </w:tc>
        <w:tc>
          <w:tcPr>
            <w:tcW w:w="4394" w:type="dxa"/>
          </w:tcPr>
          <w:p w14:paraId="1BE9E5EA" w14:textId="77777777" w:rsidR="006054BD" w:rsidRPr="003B7F7E" w:rsidRDefault="006054BD" w:rsidP="00FF42E8">
            <w:pPr>
              <w:spacing w:after="240" w:line="280" w:lineRule="atLeast"/>
              <w:rPr>
                <w:rFonts w:eastAsia="Calibri" w:cs="Arial"/>
                <w:sz w:val="20"/>
                <w:szCs w:val="20"/>
                <w:lang w:val="en-CA"/>
              </w:rPr>
            </w:pPr>
            <w:r w:rsidRPr="003B7F7E">
              <w:rPr>
                <w:rFonts w:eastAsia="Calibri" w:cs="Arial"/>
                <w:sz w:val="20"/>
                <w:szCs w:val="20"/>
                <w:lang w:val="en-CA"/>
              </w:rPr>
              <w:t>To what extent would the scope and schedule need to form part of the negotiations in order for QBS to be of value in the selection of a Design Consultant?</w:t>
            </w:r>
          </w:p>
        </w:tc>
        <w:tc>
          <w:tcPr>
            <w:tcW w:w="4274" w:type="dxa"/>
          </w:tcPr>
          <w:p w14:paraId="7726103B" w14:textId="77777777" w:rsidR="006054BD" w:rsidRPr="003B7F7E" w:rsidRDefault="00E0530B" w:rsidP="00FF42E8">
            <w:pPr>
              <w:spacing w:after="240" w:line="280" w:lineRule="atLeast"/>
              <w:rPr>
                <w:rFonts w:eastAsia="Calibri" w:cs="Arial"/>
                <w:sz w:val="20"/>
                <w:szCs w:val="20"/>
                <w:lang w:val="en-CA"/>
              </w:rPr>
            </w:pPr>
            <w:r w:rsidRPr="003B7F7E">
              <w:rPr>
                <w:rFonts w:eastAsia="Calibri" w:cs="Arial"/>
                <w:sz w:val="20"/>
                <w:szCs w:val="20"/>
                <w:lang w:val="en-CA"/>
              </w:rPr>
              <w:t>R9</w:t>
            </w:r>
          </w:p>
        </w:tc>
      </w:tr>
      <w:tr w:rsidR="006054BD" w:rsidRPr="003B7F7E" w14:paraId="29F98FDE" w14:textId="77777777" w:rsidTr="006054BD">
        <w:trPr>
          <w:jc w:val="center"/>
        </w:trPr>
        <w:tc>
          <w:tcPr>
            <w:tcW w:w="704" w:type="dxa"/>
          </w:tcPr>
          <w:p w14:paraId="44948246" w14:textId="77777777" w:rsidR="006054BD" w:rsidRPr="003B7F7E" w:rsidRDefault="006054BD" w:rsidP="0053231F">
            <w:pPr>
              <w:spacing w:after="240" w:line="280" w:lineRule="atLeast"/>
              <w:jc w:val="center"/>
              <w:rPr>
                <w:rFonts w:eastAsia="Calibri" w:cs="Arial"/>
                <w:sz w:val="20"/>
                <w:szCs w:val="20"/>
                <w:lang w:val="en-CA"/>
              </w:rPr>
            </w:pPr>
            <w:r w:rsidRPr="003B7F7E">
              <w:rPr>
                <w:rFonts w:eastAsia="Calibri" w:cs="Arial"/>
                <w:sz w:val="20"/>
                <w:szCs w:val="20"/>
                <w:lang w:val="en-CA"/>
              </w:rPr>
              <w:t>Q</w:t>
            </w:r>
            <w:r w:rsidR="0053231F" w:rsidRPr="003B7F7E">
              <w:rPr>
                <w:rFonts w:eastAsia="Calibri" w:cs="Arial"/>
                <w:sz w:val="20"/>
                <w:szCs w:val="20"/>
                <w:lang w:val="en-CA"/>
              </w:rPr>
              <w:t>10</w:t>
            </w:r>
          </w:p>
        </w:tc>
        <w:tc>
          <w:tcPr>
            <w:tcW w:w="4394" w:type="dxa"/>
          </w:tcPr>
          <w:p w14:paraId="10569F49" w14:textId="77777777" w:rsidR="006054BD" w:rsidRPr="003B7F7E" w:rsidRDefault="006054BD" w:rsidP="00FF42E8">
            <w:pPr>
              <w:spacing w:after="240" w:line="280" w:lineRule="atLeast"/>
              <w:rPr>
                <w:rFonts w:eastAsia="Calibri" w:cs="Arial"/>
                <w:sz w:val="20"/>
                <w:szCs w:val="20"/>
                <w:lang w:val="en-CA"/>
              </w:rPr>
            </w:pPr>
            <w:r w:rsidRPr="003B7F7E">
              <w:rPr>
                <w:rFonts w:eastAsia="Calibri" w:cs="Arial"/>
                <w:sz w:val="20"/>
                <w:szCs w:val="20"/>
                <w:lang w:val="en-CA"/>
              </w:rPr>
              <w:t>Under NAFTA and other trade agreements, Canada may not be allowed, under the QBS context, to negotiate the Terms of Reference resulting in a change or deviation from the scope, project description, etc., set out in the solicitation document.</w:t>
            </w:r>
          </w:p>
          <w:p w14:paraId="66295D8D" w14:textId="77777777" w:rsidR="006054BD" w:rsidRPr="003B7F7E" w:rsidRDefault="006054BD" w:rsidP="00FF42E8">
            <w:pPr>
              <w:spacing w:after="240" w:line="280" w:lineRule="atLeast"/>
              <w:rPr>
                <w:rFonts w:eastAsia="Calibri" w:cs="Arial"/>
                <w:sz w:val="20"/>
                <w:szCs w:val="20"/>
                <w:lang w:val="en-CA"/>
              </w:rPr>
            </w:pPr>
            <w:r w:rsidRPr="003B7F7E">
              <w:rPr>
                <w:rFonts w:eastAsia="Calibri" w:cs="Arial"/>
                <w:sz w:val="20"/>
                <w:szCs w:val="20"/>
                <w:lang w:val="en-CA"/>
              </w:rPr>
              <w:t xml:space="preserve">Do you think that QBS could be achieved without negotiating the TOR? </w:t>
            </w:r>
          </w:p>
        </w:tc>
        <w:tc>
          <w:tcPr>
            <w:tcW w:w="4274" w:type="dxa"/>
          </w:tcPr>
          <w:p w14:paraId="5BF6E69A" w14:textId="77777777" w:rsidR="006054BD" w:rsidRPr="003B7F7E" w:rsidRDefault="00E0530B" w:rsidP="00FF42E8">
            <w:pPr>
              <w:spacing w:after="240" w:line="280" w:lineRule="atLeast"/>
              <w:rPr>
                <w:rFonts w:eastAsia="Calibri" w:cs="Arial"/>
                <w:sz w:val="20"/>
                <w:szCs w:val="20"/>
                <w:lang w:val="en-CA"/>
              </w:rPr>
            </w:pPr>
            <w:r w:rsidRPr="003B7F7E">
              <w:rPr>
                <w:rFonts w:eastAsia="Calibri" w:cs="Arial"/>
                <w:sz w:val="20"/>
                <w:szCs w:val="20"/>
                <w:lang w:val="en-CA"/>
              </w:rPr>
              <w:t>R10</w:t>
            </w:r>
          </w:p>
        </w:tc>
      </w:tr>
      <w:tr w:rsidR="00A8147B" w:rsidRPr="003B7F7E" w14:paraId="6BD1B3AF" w14:textId="77777777" w:rsidTr="006054BD">
        <w:trPr>
          <w:jc w:val="center"/>
        </w:trPr>
        <w:tc>
          <w:tcPr>
            <w:tcW w:w="704" w:type="dxa"/>
          </w:tcPr>
          <w:p w14:paraId="6610FD08" w14:textId="77777777" w:rsidR="00A8147B" w:rsidRPr="003B7F7E" w:rsidRDefault="00A8147B" w:rsidP="0053231F">
            <w:pPr>
              <w:spacing w:after="240" w:line="280" w:lineRule="atLeast"/>
              <w:jc w:val="center"/>
              <w:rPr>
                <w:rFonts w:eastAsia="Calibri" w:cs="Arial"/>
                <w:sz w:val="20"/>
                <w:szCs w:val="20"/>
                <w:lang w:val="en-CA"/>
              </w:rPr>
            </w:pPr>
            <w:r w:rsidRPr="003B7F7E">
              <w:rPr>
                <w:rFonts w:eastAsia="Calibri" w:cs="Arial"/>
                <w:sz w:val="20"/>
                <w:szCs w:val="20"/>
                <w:lang w:val="en-CA"/>
              </w:rPr>
              <w:t>Q</w:t>
            </w:r>
            <w:r w:rsidR="001B6ABE" w:rsidRPr="003B7F7E">
              <w:rPr>
                <w:rFonts w:eastAsia="Calibri" w:cs="Arial"/>
                <w:sz w:val="20"/>
                <w:szCs w:val="20"/>
                <w:lang w:val="en-CA"/>
              </w:rPr>
              <w:t>1</w:t>
            </w:r>
            <w:r w:rsidR="0053231F" w:rsidRPr="003B7F7E">
              <w:rPr>
                <w:rFonts w:eastAsia="Calibri" w:cs="Arial"/>
                <w:sz w:val="20"/>
                <w:szCs w:val="20"/>
                <w:lang w:val="en-CA"/>
              </w:rPr>
              <w:t>1</w:t>
            </w:r>
          </w:p>
        </w:tc>
        <w:tc>
          <w:tcPr>
            <w:tcW w:w="4394" w:type="dxa"/>
          </w:tcPr>
          <w:p w14:paraId="34C7FD64" w14:textId="77777777" w:rsidR="00A8147B" w:rsidRPr="003B7F7E" w:rsidRDefault="00A8147B" w:rsidP="004A376C">
            <w:pPr>
              <w:spacing w:after="240" w:line="280" w:lineRule="atLeast"/>
              <w:rPr>
                <w:rFonts w:eastAsia="Calibri" w:cs="Arial"/>
                <w:sz w:val="20"/>
                <w:szCs w:val="20"/>
                <w:lang w:val="en-CA"/>
              </w:rPr>
            </w:pPr>
            <w:r w:rsidRPr="003B7F7E">
              <w:rPr>
                <w:rFonts w:eastAsia="Calibri" w:cs="Arial"/>
                <w:sz w:val="20"/>
                <w:szCs w:val="20"/>
                <w:lang w:val="en-CA"/>
              </w:rPr>
              <w:t xml:space="preserve">How could </w:t>
            </w:r>
            <w:r w:rsidR="00783C9F" w:rsidRPr="003B7F7E">
              <w:rPr>
                <w:rFonts w:eastAsia="Calibri" w:cs="Arial"/>
                <w:sz w:val="20"/>
                <w:szCs w:val="20"/>
                <w:lang w:val="en-CA"/>
              </w:rPr>
              <w:t>PSPC</w:t>
            </w:r>
            <w:r w:rsidRPr="003B7F7E">
              <w:rPr>
                <w:rFonts w:eastAsia="Calibri" w:cs="Arial"/>
                <w:sz w:val="20"/>
                <w:szCs w:val="20"/>
                <w:lang w:val="en-CA"/>
              </w:rPr>
              <w:t xml:space="preserve"> conduct fee negotiations in the framework of QBS? How could Canada support best value as a result of these negotiations?</w:t>
            </w:r>
          </w:p>
        </w:tc>
        <w:tc>
          <w:tcPr>
            <w:tcW w:w="4274" w:type="dxa"/>
          </w:tcPr>
          <w:p w14:paraId="7750A4DD" w14:textId="77777777" w:rsidR="00A8147B" w:rsidRPr="003B7F7E" w:rsidRDefault="00E0530B" w:rsidP="004A376C">
            <w:pPr>
              <w:spacing w:after="240" w:line="280" w:lineRule="atLeast"/>
              <w:rPr>
                <w:rFonts w:eastAsia="Calibri" w:cs="Arial"/>
                <w:sz w:val="20"/>
                <w:szCs w:val="20"/>
                <w:lang w:val="en-CA"/>
              </w:rPr>
            </w:pPr>
            <w:r w:rsidRPr="003B7F7E">
              <w:rPr>
                <w:rFonts w:eastAsia="Calibri" w:cs="Arial"/>
                <w:sz w:val="20"/>
                <w:szCs w:val="20"/>
                <w:lang w:val="en-CA"/>
              </w:rPr>
              <w:t>R11</w:t>
            </w:r>
          </w:p>
        </w:tc>
      </w:tr>
      <w:tr w:rsidR="00A8147B" w:rsidRPr="003B7F7E" w14:paraId="271781BF" w14:textId="77777777" w:rsidTr="006054BD">
        <w:trPr>
          <w:jc w:val="center"/>
        </w:trPr>
        <w:tc>
          <w:tcPr>
            <w:tcW w:w="704" w:type="dxa"/>
          </w:tcPr>
          <w:p w14:paraId="66E73516" w14:textId="77777777" w:rsidR="00A8147B" w:rsidRPr="003B7F7E" w:rsidRDefault="00A8147B" w:rsidP="007E723A">
            <w:pPr>
              <w:spacing w:after="240" w:line="280" w:lineRule="atLeast"/>
              <w:jc w:val="center"/>
              <w:rPr>
                <w:rFonts w:eastAsia="Calibri" w:cs="Arial"/>
                <w:sz w:val="20"/>
                <w:szCs w:val="20"/>
                <w:lang w:val="en-CA"/>
              </w:rPr>
            </w:pPr>
            <w:r w:rsidRPr="003B7F7E">
              <w:rPr>
                <w:rFonts w:eastAsia="Calibri" w:cs="Arial"/>
                <w:sz w:val="20"/>
                <w:szCs w:val="20"/>
                <w:lang w:val="en-CA"/>
              </w:rPr>
              <w:lastRenderedPageBreak/>
              <w:t>Q</w:t>
            </w:r>
            <w:r w:rsidR="001B6ABE" w:rsidRPr="003B7F7E">
              <w:rPr>
                <w:rFonts w:eastAsia="Calibri" w:cs="Arial"/>
                <w:sz w:val="20"/>
                <w:szCs w:val="20"/>
                <w:lang w:val="en-CA"/>
              </w:rPr>
              <w:t>1</w:t>
            </w:r>
            <w:r w:rsidR="007E723A" w:rsidRPr="003B7F7E">
              <w:rPr>
                <w:rFonts w:eastAsia="Calibri" w:cs="Arial"/>
                <w:sz w:val="20"/>
                <w:szCs w:val="20"/>
                <w:lang w:val="en-CA"/>
              </w:rPr>
              <w:t>2</w:t>
            </w:r>
          </w:p>
        </w:tc>
        <w:tc>
          <w:tcPr>
            <w:tcW w:w="4394" w:type="dxa"/>
          </w:tcPr>
          <w:p w14:paraId="4EEC7837" w14:textId="1380BAB5" w:rsidR="00A8147B" w:rsidRPr="003B7F7E" w:rsidRDefault="00A8147B" w:rsidP="004A376C">
            <w:pPr>
              <w:spacing w:after="240" w:line="280" w:lineRule="atLeast"/>
              <w:rPr>
                <w:rFonts w:eastAsia="Calibri" w:cs="Arial"/>
                <w:sz w:val="20"/>
                <w:szCs w:val="20"/>
                <w:lang w:val="en-CA"/>
              </w:rPr>
            </w:pPr>
            <w:r w:rsidRPr="003B7F7E">
              <w:rPr>
                <w:rFonts w:eastAsia="Calibri" w:cs="Arial"/>
                <w:sz w:val="20"/>
                <w:szCs w:val="20"/>
                <w:lang w:val="en-CA"/>
              </w:rPr>
              <w:t>Would the price support cl</w:t>
            </w:r>
            <w:r w:rsidR="00950E6B">
              <w:rPr>
                <w:rFonts w:eastAsia="Calibri" w:cs="Arial"/>
                <w:sz w:val="20"/>
                <w:szCs w:val="20"/>
                <w:lang w:val="en-CA"/>
              </w:rPr>
              <w:t>ause, referred to in section 3.3</w:t>
            </w:r>
            <w:r w:rsidRPr="003B7F7E">
              <w:rPr>
                <w:rFonts w:eastAsia="Calibri" w:cs="Arial"/>
                <w:sz w:val="20"/>
                <w:szCs w:val="20"/>
                <w:lang w:val="en-CA"/>
              </w:rPr>
              <w:t>, be valuable</w:t>
            </w:r>
            <w:r w:rsidR="00BB58B5" w:rsidRPr="003B7F7E">
              <w:rPr>
                <w:rFonts w:eastAsia="Calibri" w:cs="Arial"/>
                <w:sz w:val="20"/>
                <w:szCs w:val="20"/>
                <w:lang w:val="en-CA"/>
              </w:rPr>
              <w:t xml:space="preserve"> or the most difficult</w:t>
            </w:r>
            <w:r w:rsidRPr="003B7F7E">
              <w:rPr>
                <w:rFonts w:eastAsia="Calibri" w:cs="Arial"/>
                <w:sz w:val="20"/>
                <w:szCs w:val="20"/>
                <w:lang w:val="en-CA"/>
              </w:rPr>
              <w:t xml:space="preserve"> during fee negotiations to support best value? Please explain your response.</w:t>
            </w:r>
          </w:p>
        </w:tc>
        <w:tc>
          <w:tcPr>
            <w:tcW w:w="4274" w:type="dxa"/>
          </w:tcPr>
          <w:p w14:paraId="60CCAD0C" w14:textId="77777777" w:rsidR="00A8147B" w:rsidRPr="003B7F7E" w:rsidRDefault="00E0530B" w:rsidP="004A376C">
            <w:pPr>
              <w:spacing w:after="240" w:line="280" w:lineRule="atLeast"/>
              <w:rPr>
                <w:rFonts w:eastAsia="Calibri" w:cs="Arial"/>
                <w:sz w:val="20"/>
                <w:szCs w:val="20"/>
                <w:lang w:val="en-CA"/>
              </w:rPr>
            </w:pPr>
            <w:r w:rsidRPr="003B7F7E">
              <w:rPr>
                <w:rFonts w:eastAsia="Calibri" w:cs="Arial"/>
                <w:sz w:val="20"/>
                <w:szCs w:val="20"/>
                <w:lang w:val="en-CA"/>
              </w:rPr>
              <w:t>R12</w:t>
            </w:r>
          </w:p>
        </w:tc>
      </w:tr>
      <w:tr w:rsidR="00A8147B" w:rsidRPr="003B7F7E" w14:paraId="02D11F28" w14:textId="77777777" w:rsidTr="006054BD">
        <w:trPr>
          <w:jc w:val="center"/>
        </w:trPr>
        <w:tc>
          <w:tcPr>
            <w:tcW w:w="704" w:type="dxa"/>
          </w:tcPr>
          <w:p w14:paraId="4BD954CD" w14:textId="77777777" w:rsidR="00A8147B" w:rsidRPr="003B7F7E" w:rsidRDefault="00A8147B" w:rsidP="001B6ABE">
            <w:pPr>
              <w:spacing w:after="240" w:line="280" w:lineRule="atLeast"/>
              <w:jc w:val="center"/>
              <w:rPr>
                <w:rFonts w:eastAsia="Calibri" w:cs="Arial"/>
                <w:sz w:val="20"/>
                <w:szCs w:val="20"/>
                <w:lang w:val="en-CA"/>
              </w:rPr>
            </w:pPr>
            <w:r w:rsidRPr="003B7F7E">
              <w:rPr>
                <w:rFonts w:eastAsia="Calibri" w:cs="Arial"/>
                <w:sz w:val="20"/>
                <w:szCs w:val="20"/>
                <w:lang w:val="en-CA"/>
              </w:rPr>
              <w:t>Q</w:t>
            </w:r>
            <w:r w:rsidR="005D146A" w:rsidRPr="003B7F7E">
              <w:rPr>
                <w:rFonts w:eastAsia="Calibri" w:cs="Arial"/>
                <w:sz w:val="20"/>
                <w:szCs w:val="20"/>
                <w:lang w:val="en-CA"/>
              </w:rPr>
              <w:t>1</w:t>
            </w:r>
            <w:r w:rsidR="007E723A" w:rsidRPr="003B7F7E">
              <w:rPr>
                <w:rFonts w:eastAsia="Calibri" w:cs="Arial"/>
                <w:sz w:val="20"/>
                <w:szCs w:val="20"/>
                <w:lang w:val="en-CA"/>
              </w:rPr>
              <w:t>3</w:t>
            </w:r>
          </w:p>
        </w:tc>
        <w:tc>
          <w:tcPr>
            <w:tcW w:w="4394" w:type="dxa"/>
          </w:tcPr>
          <w:p w14:paraId="6B972332" w14:textId="77777777" w:rsidR="00783C9F" w:rsidRPr="003B7F7E" w:rsidRDefault="00A8147B" w:rsidP="004A376C">
            <w:pPr>
              <w:spacing w:after="240" w:line="280" w:lineRule="atLeast"/>
              <w:rPr>
                <w:rFonts w:eastAsia="Calibri" w:cs="Arial"/>
                <w:sz w:val="20"/>
                <w:szCs w:val="20"/>
                <w:lang w:val="en-CA"/>
              </w:rPr>
            </w:pPr>
            <w:r w:rsidRPr="003B7F7E">
              <w:rPr>
                <w:rFonts w:eastAsia="Calibri" w:cs="Arial"/>
                <w:sz w:val="20"/>
                <w:szCs w:val="20"/>
                <w:lang w:val="en-CA"/>
              </w:rPr>
              <w:t>In your experience, would the use of Engineering</w:t>
            </w:r>
            <w:r w:rsidR="00130207" w:rsidRPr="003B7F7E">
              <w:rPr>
                <w:rFonts w:eastAsia="Calibri" w:cs="Arial"/>
                <w:sz w:val="20"/>
                <w:szCs w:val="20"/>
                <w:lang w:val="en-CA"/>
              </w:rPr>
              <w:t xml:space="preserve"> or Architectural</w:t>
            </w:r>
            <w:r w:rsidRPr="003B7F7E">
              <w:rPr>
                <w:rFonts w:eastAsia="Calibri" w:cs="Arial"/>
                <w:sz w:val="20"/>
                <w:szCs w:val="20"/>
                <w:lang w:val="en-CA"/>
              </w:rPr>
              <w:t xml:space="preserve"> Association fee guidelines </w:t>
            </w:r>
            <w:r w:rsidR="00130207" w:rsidRPr="003B7F7E">
              <w:rPr>
                <w:rFonts w:eastAsia="Calibri" w:cs="Arial"/>
                <w:sz w:val="20"/>
                <w:szCs w:val="20"/>
                <w:lang w:val="en-CA"/>
              </w:rPr>
              <w:t>such as the following,</w:t>
            </w:r>
            <w:r w:rsidR="00783C9F" w:rsidRPr="003B7F7E">
              <w:rPr>
                <w:rFonts w:eastAsia="Calibri" w:cs="Arial"/>
                <w:sz w:val="20"/>
                <w:szCs w:val="20"/>
                <w:lang w:val="en-CA"/>
              </w:rPr>
              <w:t xml:space="preserve"> be appropriate to support price during fee negotiations? </w:t>
            </w:r>
            <w:r w:rsidR="00BB58B5" w:rsidRPr="003B7F7E">
              <w:rPr>
                <w:rFonts w:eastAsia="Calibri" w:cs="Arial"/>
                <w:sz w:val="20"/>
                <w:szCs w:val="20"/>
                <w:lang w:val="en-CA"/>
              </w:rPr>
              <w:t>How w</w:t>
            </w:r>
            <w:r w:rsidR="00783C9F" w:rsidRPr="003B7F7E">
              <w:rPr>
                <w:rFonts w:eastAsia="Calibri" w:cs="Arial"/>
                <w:sz w:val="20"/>
                <w:szCs w:val="20"/>
                <w:lang w:val="en-CA"/>
              </w:rPr>
              <w:t>ould this ensure best value for taxpayers</w:t>
            </w:r>
            <w:r w:rsidR="00BB58B5" w:rsidRPr="003B7F7E">
              <w:rPr>
                <w:rFonts w:eastAsia="Calibri" w:cs="Arial"/>
                <w:sz w:val="20"/>
                <w:szCs w:val="20"/>
                <w:lang w:val="en-CA"/>
              </w:rPr>
              <w:t>? Could it serve better that the current process?</w:t>
            </w:r>
          </w:p>
          <w:p w14:paraId="202E367E" w14:textId="77777777" w:rsidR="00A8147B" w:rsidRPr="003B7F7E" w:rsidRDefault="00A8147B" w:rsidP="004E7CE2">
            <w:pPr>
              <w:spacing w:after="0" w:line="280" w:lineRule="atLeast"/>
              <w:rPr>
                <w:rFonts w:eastAsia="Calibri" w:cs="Arial"/>
                <w:sz w:val="20"/>
                <w:szCs w:val="20"/>
                <w:u w:val="single"/>
                <w:lang w:val="fr-CA"/>
              </w:rPr>
            </w:pPr>
            <w:r w:rsidRPr="003B7F7E">
              <w:rPr>
                <w:rFonts w:eastAsia="Calibri" w:cs="Arial"/>
                <w:sz w:val="20"/>
                <w:szCs w:val="20"/>
                <w:u w:val="single"/>
                <w:lang w:val="fr-CA"/>
              </w:rPr>
              <w:t>Association des firmes de génie-conseil du Québec</w:t>
            </w:r>
          </w:p>
          <w:p w14:paraId="27ED4708" w14:textId="77777777" w:rsidR="00A8147B" w:rsidRPr="003B7F7E" w:rsidRDefault="00A8147B" w:rsidP="004E7CE2">
            <w:pPr>
              <w:spacing w:after="0" w:line="280" w:lineRule="atLeast"/>
              <w:rPr>
                <w:rFonts w:eastAsia="Calibri" w:cs="Arial"/>
                <w:sz w:val="20"/>
                <w:szCs w:val="20"/>
                <w:lang w:val="en-CA"/>
              </w:rPr>
            </w:pPr>
            <w:r w:rsidRPr="003B7F7E">
              <w:rPr>
                <w:rFonts w:eastAsia="Calibri" w:cs="Arial"/>
                <w:sz w:val="20"/>
                <w:szCs w:val="20"/>
                <w:lang w:val="en-CA"/>
              </w:rPr>
              <w:t>Schedule of Fees 2015-2016 edition</w:t>
            </w:r>
          </w:p>
          <w:p w14:paraId="54CACDC7" w14:textId="77777777" w:rsidR="00A8147B" w:rsidRPr="003B7F7E" w:rsidRDefault="00BD0986" w:rsidP="004E7CE2">
            <w:pPr>
              <w:spacing w:after="0" w:line="280" w:lineRule="atLeast"/>
              <w:rPr>
                <w:rFonts w:eastAsia="Calibri" w:cs="Arial"/>
                <w:sz w:val="20"/>
                <w:szCs w:val="20"/>
              </w:rPr>
            </w:pPr>
            <w:hyperlink r:id="rId8" w:history="1">
              <w:r w:rsidR="00A8147B" w:rsidRPr="003B7F7E">
                <w:rPr>
                  <w:rFonts w:eastAsia="Calibri" w:cs="Arial"/>
                  <w:sz w:val="20"/>
                  <w:szCs w:val="20"/>
                </w:rPr>
                <w:t>http://www.afg.quebec/uploads/AFG_Bareme_honoraires_2015_EN.pdf.pdf</w:t>
              </w:r>
            </w:hyperlink>
          </w:p>
          <w:p w14:paraId="03453D43" w14:textId="77777777" w:rsidR="004E7CE2" w:rsidRPr="003B7F7E" w:rsidRDefault="004E7CE2" w:rsidP="004E7CE2">
            <w:pPr>
              <w:spacing w:after="0" w:line="280" w:lineRule="atLeast"/>
              <w:rPr>
                <w:rFonts w:eastAsia="Calibri" w:cs="Arial"/>
                <w:sz w:val="20"/>
                <w:szCs w:val="20"/>
                <w:u w:val="single"/>
                <w:lang w:val="en-CA"/>
              </w:rPr>
            </w:pPr>
          </w:p>
          <w:p w14:paraId="124BF162" w14:textId="77777777" w:rsidR="00A8147B" w:rsidRPr="003B7F7E" w:rsidRDefault="00A8147B" w:rsidP="004E7CE2">
            <w:pPr>
              <w:spacing w:after="0" w:line="280" w:lineRule="atLeast"/>
              <w:rPr>
                <w:rFonts w:eastAsia="Calibri" w:cs="Arial"/>
                <w:sz w:val="20"/>
                <w:szCs w:val="20"/>
                <w:u w:val="single"/>
                <w:lang w:val="en-CA"/>
              </w:rPr>
            </w:pPr>
            <w:r w:rsidRPr="003B7F7E">
              <w:rPr>
                <w:rFonts w:eastAsia="Calibri" w:cs="Arial"/>
                <w:sz w:val="20"/>
                <w:szCs w:val="20"/>
                <w:u w:val="single"/>
                <w:lang w:val="en-CA"/>
              </w:rPr>
              <w:t xml:space="preserve">Ontario Society of Professional Engineers (OSPE) </w:t>
            </w:r>
          </w:p>
          <w:p w14:paraId="0677FF5E" w14:textId="77777777" w:rsidR="00A8147B" w:rsidRPr="003B7F7E" w:rsidRDefault="00A8147B" w:rsidP="004E7CE2">
            <w:pPr>
              <w:spacing w:after="0" w:line="280" w:lineRule="atLeast"/>
              <w:rPr>
                <w:rFonts w:eastAsia="Calibri" w:cs="Arial"/>
                <w:sz w:val="20"/>
                <w:szCs w:val="20"/>
                <w:lang w:val="en-CA"/>
              </w:rPr>
            </w:pPr>
            <w:r w:rsidRPr="003B7F7E">
              <w:rPr>
                <w:rFonts w:eastAsia="Calibri" w:cs="Arial"/>
                <w:sz w:val="20"/>
                <w:szCs w:val="20"/>
                <w:lang w:val="en-CA"/>
              </w:rPr>
              <w:t>Fee Guideline 2015</w:t>
            </w:r>
          </w:p>
          <w:p w14:paraId="448C7D8F" w14:textId="77777777" w:rsidR="00A8147B" w:rsidRPr="003B7F7E" w:rsidRDefault="00BD0986" w:rsidP="004E7CE2">
            <w:pPr>
              <w:spacing w:after="0" w:line="280" w:lineRule="atLeast"/>
              <w:rPr>
                <w:rFonts w:eastAsia="Calibri" w:cs="Arial"/>
                <w:sz w:val="20"/>
                <w:szCs w:val="20"/>
                <w:lang w:val="en-CA"/>
              </w:rPr>
            </w:pPr>
            <w:hyperlink r:id="rId9" w:history="1">
              <w:r w:rsidR="00A8147B" w:rsidRPr="003B7F7E">
                <w:rPr>
                  <w:rFonts w:eastAsia="Calibri" w:cs="Arial"/>
                  <w:sz w:val="20"/>
                  <w:szCs w:val="20"/>
                  <w:lang w:val="en-CA"/>
                </w:rPr>
                <w:t>https://www.ospe.on.ca/public/documents/general/2015-fee-guideline.pdf</w:t>
              </w:r>
            </w:hyperlink>
          </w:p>
          <w:p w14:paraId="5CB9AA91" w14:textId="77777777" w:rsidR="004E7CE2" w:rsidRPr="003B7F7E" w:rsidRDefault="004E7CE2" w:rsidP="004E7CE2">
            <w:pPr>
              <w:spacing w:after="0" w:line="280" w:lineRule="atLeast"/>
              <w:rPr>
                <w:rFonts w:eastAsia="Calibri" w:cs="Arial"/>
                <w:sz w:val="20"/>
                <w:szCs w:val="20"/>
                <w:u w:val="single"/>
                <w:lang w:val="en-CA"/>
              </w:rPr>
            </w:pPr>
          </w:p>
          <w:p w14:paraId="59D171CA" w14:textId="77777777" w:rsidR="00A8147B" w:rsidRPr="003B7F7E" w:rsidRDefault="00A8147B" w:rsidP="004E7CE2">
            <w:pPr>
              <w:spacing w:after="0" w:line="280" w:lineRule="atLeast"/>
              <w:rPr>
                <w:rFonts w:eastAsia="Calibri" w:cs="Arial"/>
                <w:sz w:val="20"/>
                <w:szCs w:val="20"/>
                <w:u w:val="single"/>
                <w:lang w:val="en-CA"/>
              </w:rPr>
            </w:pPr>
            <w:r w:rsidRPr="003B7F7E">
              <w:rPr>
                <w:rFonts w:eastAsia="Calibri" w:cs="Arial"/>
                <w:sz w:val="20"/>
                <w:szCs w:val="20"/>
                <w:u w:val="single"/>
                <w:lang w:val="en-CA"/>
              </w:rPr>
              <w:t>The Royal Architectural Institute of Canada © 2009</w:t>
            </w:r>
          </w:p>
          <w:p w14:paraId="5307288D" w14:textId="77777777" w:rsidR="00A8147B" w:rsidRPr="003B7F7E" w:rsidRDefault="00A8147B" w:rsidP="004E7CE2">
            <w:pPr>
              <w:spacing w:after="0" w:line="280" w:lineRule="atLeast"/>
              <w:rPr>
                <w:rFonts w:eastAsia="Calibri" w:cs="Arial"/>
                <w:sz w:val="20"/>
                <w:szCs w:val="20"/>
                <w:lang w:val="en-CA"/>
              </w:rPr>
            </w:pPr>
            <w:r w:rsidRPr="003B7F7E">
              <w:rPr>
                <w:rFonts w:eastAsia="Calibri" w:cs="Arial"/>
                <w:sz w:val="20"/>
                <w:szCs w:val="20"/>
                <w:lang w:val="en-CA"/>
              </w:rPr>
              <w:t xml:space="preserve">A Guide to Determining Appropriate Fees for the Services of an Architect </w:t>
            </w:r>
          </w:p>
          <w:p w14:paraId="54AB7EB7" w14:textId="77777777" w:rsidR="00A8147B" w:rsidRPr="003B7F7E" w:rsidRDefault="00BD0986" w:rsidP="004E7CE2">
            <w:pPr>
              <w:spacing w:after="0" w:line="280" w:lineRule="atLeast"/>
              <w:rPr>
                <w:rFonts w:eastAsia="Calibri" w:cs="Arial"/>
                <w:sz w:val="20"/>
                <w:szCs w:val="20"/>
                <w:lang w:val="en-CA"/>
              </w:rPr>
            </w:pPr>
            <w:hyperlink r:id="rId10" w:history="1">
              <w:r w:rsidR="00A8147B" w:rsidRPr="003B7F7E">
                <w:rPr>
                  <w:rFonts w:eastAsia="Calibri" w:cs="Arial"/>
                  <w:sz w:val="20"/>
                  <w:szCs w:val="20"/>
                  <w:lang w:val="en-CA"/>
                </w:rPr>
                <w:t>https://www.mbarchitects.org/docs/guide_architectservicefees(e).pdf</w:t>
              </w:r>
            </w:hyperlink>
          </w:p>
          <w:p w14:paraId="522915FC" w14:textId="77777777" w:rsidR="004E7CE2" w:rsidRPr="003B7F7E" w:rsidRDefault="004E7CE2" w:rsidP="004E7CE2">
            <w:pPr>
              <w:spacing w:after="0" w:line="280" w:lineRule="atLeast"/>
              <w:rPr>
                <w:rFonts w:eastAsia="Calibri" w:cs="Arial"/>
                <w:sz w:val="20"/>
                <w:szCs w:val="20"/>
                <w:lang w:val="en-CA"/>
              </w:rPr>
            </w:pPr>
          </w:p>
        </w:tc>
        <w:tc>
          <w:tcPr>
            <w:tcW w:w="4274" w:type="dxa"/>
          </w:tcPr>
          <w:p w14:paraId="0D3D46C8" w14:textId="77777777" w:rsidR="00A8147B" w:rsidRPr="003B7F7E" w:rsidRDefault="00E0530B" w:rsidP="004A376C">
            <w:pPr>
              <w:spacing w:after="240" w:line="280" w:lineRule="atLeast"/>
              <w:rPr>
                <w:rFonts w:eastAsia="Calibri" w:cs="Arial"/>
                <w:sz w:val="20"/>
                <w:szCs w:val="20"/>
                <w:lang w:val="en-CA"/>
              </w:rPr>
            </w:pPr>
            <w:r w:rsidRPr="003B7F7E">
              <w:rPr>
                <w:rFonts w:eastAsia="Calibri" w:cs="Arial"/>
                <w:sz w:val="20"/>
                <w:szCs w:val="20"/>
                <w:lang w:val="en-CA"/>
              </w:rPr>
              <w:t>R13</w:t>
            </w:r>
          </w:p>
        </w:tc>
      </w:tr>
      <w:tr w:rsidR="00A8147B" w:rsidRPr="003B7F7E" w14:paraId="1E785D64" w14:textId="77777777" w:rsidTr="006054BD">
        <w:trPr>
          <w:jc w:val="center"/>
        </w:trPr>
        <w:tc>
          <w:tcPr>
            <w:tcW w:w="704" w:type="dxa"/>
          </w:tcPr>
          <w:p w14:paraId="2BA4F35C" w14:textId="77777777" w:rsidR="00A8147B" w:rsidRPr="003B7F7E" w:rsidRDefault="00A8147B" w:rsidP="001B6ABE">
            <w:pPr>
              <w:spacing w:after="240" w:line="280" w:lineRule="atLeast"/>
              <w:jc w:val="center"/>
              <w:rPr>
                <w:rFonts w:eastAsia="Calibri" w:cs="Arial"/>
                <w:sz w:val="20"/>
                <w:szCs w:val="20"/>
                <w:lang w:val="en-CA"/>
              </w:rPr>
            </w:pPr>
            <w:r w:rsidRPr="003B7F7E">
              <w:rPr>
                <w:rFonts w:eastAsia="Calibri" w:cs="Arial"/>
                <w:sz w:val="20"/>
                <w:szCs w:val="20"/>
                <w:lang w:val="en-CA"/>
              </w:rPr>
              <w:t>Q1</w:t>
            </w:r>
            <w:r w:rsidR="007E723A" w:rsidRPr="003B7F7E">
              <w:rPr>
                <w:rFonts w:eastAsia="Calibri" w:cs="Arial"/>
                <w:sz w:val="20"/>
                <w:szCs w:val="20"/>
                <w:lang w:val="en-CA"/>
              </w:rPr>
              <w:t>4</w:t>
            </w:r>
          </w:p>
        </w:tc>
        <w:tc>
          <w:tcPr>
            <w:tcW w:w="4394" w:type="dxa"/>
          </w:tcPr>
          <w:p w14:paraId="7218E23E" w14:textId="77777777" w:rsidR="00A8147B" w:rsidRPr="003B7F7E" w:rsidRDefault="00862B45" w:rsidP="004A376C">
            <w:pPr>
              <w:spacing w:after="240" w:line="280" w:lineRule="atLeast"/>
              <w:rPr>
                <w:rFonts w:eastAsia="Calibri" w:cs="Arial"/>
                <w:sz w:val="20"/>
                <w:szCs w:val="20"/>
                <w:lang w:val="en-CA"/>
              </w:rPr>
            </w:pPr>
            <w:r w:rsidRPr="003B7F7E">
              <w:rPr>
                <w:rFonts w:eastAsia="Calibri" w:cs="Arial"/>
                <w:sz w:val="20"/>
                <w:szCs w:val="20"/>
                <w:lang w:val="en-CA"/>
              </w:rPr>
              <w:t>Please see previous question: d</w:t>
            </w:r>
            <w:r w:rsidR="00A8147B" w:rsidRPr="003B7F7E">
              <w:rPr>
                <w:rFonts w:eastAsia="Calibri" w:cs="Arial"/>
                <w:sz w:val="20"/>
                <w:szCs w:val="20"/>
                <w:lang w:val="en-CA"/>
              </w:rPr>
              <w:t xml:space="preserve">o you know </w:t>
            </w:r>
            <w:r w:rsidR="00AB7E8E" w:rsidRPr="003B7F7E">
              <w:rPr>
                <w:rFonts w:eastAsia="Calibri" w:cs="Arial"/>
                <w:sz w:val="20"/>
                <w:szCs w:val="20"/>
                <w:lang w:val="en-CA"/>
              </w:rPr>
              <w:t>of</w:t>
            </w:r>
            <w:r w:rsidR="00A8147B" w:rsidRPr="003B7F7E">
              <w:rPr>
                <w:rFonts w:eastAsia="Calibri" w:cs="Arial"/>
                <w:sz w:val="20"/>
                <w:szCs w:val="20"/>
                <w:lang w:val="en-CA"/>
              </w:rPr>
              <w:t xml:space="preserve"> any other supporting documentation that could be used to support best value during fee negotiations?</w:t>
            </w:r>
          </w:p>
          <w:p w14:paraId="3FAC62DA" w14:textId="77777777" w:rsidR="00A8147B" w:rsidRPr="003B7F7E" w:rsidRDefault="00A8147B" w:rsidP="004A376C">
            <w:pPr>
              <w:spacing w:after="240" w:line="280" w:lineRule="atLeast"/>
              <w:rPr>
                <w:rFonts w:eastAsia="Calibri" w:cs="Arial"/>
                <w:sz w:val="20"/>
                <w:szCs w:val="20"/>
                <w:lang w:val="en-CA"/>
              </w:rPr>
            </w:pPr>
            <w:r w:rsidRPr="003B7F7E">
              <w:rPr>
                <w:rFonts w:eastAsia="Calibri" w:cs="Arial"/>
                <w:sz w:val="20"/>
                <w:szCs w:val="20"/>
                <w:lang w:val="en-CA"/>
              </w:rPr>
              <w:t>What other documentation or supporting method would you propose?</w:t>
            </w:r>
          </w:p>
        </w:tc>
        <w:tc>
          <w:tcPr>
            <w:tcW w:w="4274" w:type="dxa"/>
          </w:tcPr>
          <w:p w14:paraId="535928A0" w14:textId="77777777" w:rsidR="00A8147B" w:rsidRPr="003B7F7E" w:rsidRDefault="00E0530B" w:rsidP="004A376C">
            <w:pPr>
              <w:spacing w:after="240" w:line="280" w:lineRule="atLeast"/>
              <w:rPr>
                <w:rFonts w:eastAsia="Calibri" w:cs="Arial"/>
                <w:sz w:val="20"/>
                <w:szCs w:val="20"/>
                <w:lang w:val="en-CA"/>
              </w:rPr>
            </w:pPr>
            <w:r w:rsidRPr="003B7F7E">
              <w:rPr>
                <w:rFonts w:eastAsia="Calibri" w:cs="Arial"/>
                <w:sz w:val="20"/>
                <w:szCs w:val="20"/>
                <w:lang w:val="en-CA"/>
              </w:rPr>
              <w:t>R14</w:t>
            </w:r>
          </w:p>
        </w:tc>
      </w:tr>
      <w:tr w:rsidR="00A8147B" w:rsidRPr="003B7F7E" w14:paraId="0DE7C05D" w14:textId="77777777" w:rsidTr="006054BD">
        <w:trPr>
          <w:jc w:val="center"/>
        </w:trPr>
        <w:tc>
          <w:tcPr>
            <w:tcW w:w="704" w:type="dxa"/>
            <w:shd w:val="clear" w:color="auto" w:fill="auto"/>
          </w:tcPr>
          <w:p w14:paraId="0AA381F3" w14:textId="77777777" w:rsidR="00A8147B" w:rsidRPr="003B7F7E" w:rsidRDefault="00A8147B" w:rsidP="001B6ABE">
            <w:pPr>
              <w:spacing w:after="240" w:line="280" w:lineRule="atLeast"/>
              <w:jc w:val="center"/>
              <w:rPr>
                <w:rFonts w:eastAsia="Calibri" w:cs="Arial"/>
                <w:sz w:val="20"/>
                <w:szCs w:val="20"/>
                <w:lang w:val="en-CA"/>
              </w:rPr>
            </w:pPr>
            <w:r w:rsidRPr="003B7F7E">
              <w:rPr>
                <w:rFonts w:eastAsia="Calibri" w:cs="Arial"/>
                <w:sz w:val="20"/>
                <w:szCs w:val="20"/>
                <w:lang w:val="en-CA"/>
              </w:rPr>
              <w:t>Q</w:t>
            </w:r>
            <w:r w:rsidR="005D146A" w:rsidRPr="003B7F7E">
              <w:rPr>
                <w:rFonts w:eastAsia="Calibri" w:cs="Arial"/>
                <w:sz w:val="20"/>
                <w:szCs w:val="20"/>
                <w:lang w:val="en-CA"/>
              </w:rPr>
              <w:t>1</w:t>
            </w:r>
            <w:r w:rsidR="007E723A" w:rsidRPr="003B7F7E">
              <w:rPr>
                <w:rFonts w:eastAsia="Calibri" w:cs="Arial"/>
                <w:sz w:val="20"/>
                <w:szCs w:val="20"/>
                <w:lang w:val="en-CA"/>
              </w:rPr>
              <w:t>5</w:t>
            </w:r>
          </w:p>
        </w:tc>
        <w:tc>
          <w:tcPr>
            <w:tcW w:w="4394" w:type="dxa"/>
          </w:tcPr>
          <w:p w14:paraId="3DBCF8BB" w14:textId="77777777" w:rsidR="00A8147B" w:rsidRPr="003B7F7E" w:rsidRDefault="00A8147B" w:rsidP="004A376C">
            <w:pPr>
              <w:spacing w:after="240" w:line="280" w:lineRule="atLeast"/>
              <w:rPr>
                <w:rFonts w:eastAsia="Calibri" w:cs="Arial"/>
                <w:sz w:val="20"/>
                <w:szCs w:val="20"/>
                <w:lang w:val="en-CA"/>
              </w:rPr>
            </w:pPr>
            <w:r w:rsidRPr="003B7F7E">
              <w:rPr>
                <w:rFonts w:eastAsia="Calibri" w:cs="Arial"/>
                <w:sz w:val="20"/>
                <w:szCs w:val="20"/>
                <w:lang w:val="en-CA"/>
              </w:rPr>
              <w:t xml:space="preserve">The QBS Model in the United States has a maximum on the professional AES fees of 6% (of the construction costs) relating to the production of tender drawings and specifications.  All remaining costs are </w:t>
            </w:r>
            <w:r w:rsidRPr="003B7F7E">
              <w:rPr>
                <w:rFonts w:eastAsia="Calibri" w:cs="Arial"/>
                <w:sz w:val="20"/>
                <w:szCs w:val="20"/>
                <w:lang w:val="en-CA"/>
              </w:rPr>
              <w:lastRenderedPageBreak/>
              <w:t>negotiated.  Is this 6% cap deemed fair in the Canadian marketplace?</w:t>
            </w:r>
            <w:r w:rsidR="00BB58B5" w:rsidRPr="003B7F7E">
              <w:rPr>
                <w:rFonts w:eastAsia="Calibri" w:cs="Arial"/>
                <w:sz w:val="20"/>
                <w:szCs w:val="20"/>
                <w:lang w:val="en-CA"/>
              </w:rPr>
              <w:t xml:space="preserve"> </w:t>
            </w:r>
          </w:p>
        </w:tc>
        <w:tc>
          <w:tcPr>
            <w:tcW w:w="4274" w:type="dxa"/>
          </w:tcPr>
          <w:p w14:paraId="159EF348" w14:textId="77777777" w:rsidR="00A8147B" w:rsidRPr="003B7F7E" w:rsidRDefault="00E0530B" w:rsidP="004A376C">
            <w:pPr>
              <w:spacing w:after="240" w:line="280" w:lineRule="atLeast"/>
              <w:rPr>
                <w:rFonts w:eastAsia="Calibri" w:cs="Arial"/>
                <w:sz w:val="20"/>
                <w:szCs w:val="20"/>
                <w:lang w:val="en-CA"/>
              </w:rPr>
            </w:pPr>
            <w:r w:rsidRPr="003B7F7E">
              <w:rPr>
                <w:rFonts w:eastAsia="Calibri" w:cs="Arial"/>
                <w:sz w:val="20"/>
                <w:szCs w:val="20"/>
                <w:lang w:val="en-CA"/>
              </w:rPr>
              <w:lastRenderedPageBreak/>
              <w:t>R15</w:t>
            </w:r>
          </w:p>
        </w:tc>
      </w:tr>
      <w:tr w:rsidR="00A22FDE" w:rsidRPr="003B7F7E" w14:paraId="561910EC" w14:textId="77777777" w:rsidTr="006054BD">
        <w:trPr>
          <w:jc w:val="center"/>
        </w:trPr>
        <w:tc>
          <w:tcPr>
            <w:tcW w:w="704" w:type="dxa"/>
            <w:shd w:val="clear" w:color="auto" w:fill="auto"/>
          </w:tcPr>
          <w:p w14:paraId="0ECB73E6" w14:textId="77777777" w:rsidR="00A22FDE" w:rsidRPr="003B7F7E" w:rsidRDefault="00E27A42" w:rsidP="001B6ABE">
            <w:pPr>
              <w:spacing w:after="240" w:line="280" w:lineRule="atLeast"/>
              <w:jc w:val="center"/>
              <w:rPr>
                <w:rFonts w:eastAsia="Calibri" w:cs="Arial"/>
                <w:sz w:val="20"/>
                <w:szCs w:val="20"/>
                <w:lang w:val="en-CA"/>
              </w:rPr>
            </w:pPr>
            <w:r w:rsidRPr="003B7F7E">
              <w:rPr>
                <w:rFonts w:eastAsia="Calibri" w:cs="Arial"/>
                <w:sz w:val="20"/>
                <w:szCs w:val="20"/>
                <w:lang w:val="en-CA"/>
              </w:rPr>
              <w:t>Q1</w:t>
            </w:r>
            <w:r w:rsidR="007E723A" w:rsidRPr="003B7F7E">
              <w:rPr>
                <w:rFonts w:eastAsia="Calibri" w:cs="Arial"/>
                <w:sz w:val="20"/>
                <w:szCs w:val="20"/>
                <w:lang w:val="en-CA"/>
              </w:rPr>
              <w:t>6</w:t>
            </w:r>
          </w:p>
        </w:tc>
        <w:tc>
          <w:tcPr>
            <w:tcW w:w="4394" w:type="dxa"/>
          </w:tcPr>
          <w:p w14:paraId="2E29F64E" w14:textId="77777777" w:rsidR="00A22FDE" w:rsidRPr="003B7F7E" w:rsidRDefault="00A22FDE" w:rsidP="004A376C">
            <w:pPr>
              <w:spacing w:after="240" w:line="280" w:lineRule="atLeast"/>
              <w:rPr>
                <w:rFonts w:eastAsia="Calibri" w:cs="Arial"/>
                <w:sz w:val="20"/>
                <w:szCs w:val="20"/>
                <w:lang w:val="en-CA"/>
              </w:rPr>
            </w:pPr>
            <w:r w:rsidRPr="003B7F7E">
              <w:rPr>
                <w:rFonts w:eastAsia="Calibri" w:cs="Arial"/>
                <w:sz w:val="20"/>
                <w:szCs w:val="20"/>
                <w:lang w:val="en-CA"/>
              </w:rPr>
              <w:t>How appropriate would it be to apply a percentage cap to the Consultant’s fees for the entirety of the services?  If appropriate, what % cap would be considered fair and reasonable?</w:t>
            </w:r>
          </w:p>
        </w:tc>
        <w:tc>
          <w:tcPr>
            <w:tcW w:w="4274" w:type="dxa"/>
          </w:tcPr>
          <w:p w14:paraId="1ADAC736" w14:textId="77777777" w:rsidR="00E27A42" w:rsidRPr="003B7F7E" w:rsidRDefault="00E0530B" w:rsidP="004A376C">
            <w:pPr>
              <w:spacing w:after="240" w:line="280" w:lineRule="atLeast"/>
              <w:rPr>
                <w:rFonts w:eastAsia="Calibri" w:cs="Arial"/>
                <w:sz w:val="20"/>
                <w:szCs w:val="20"/>
                <w:lang w:val="en-CA"/>
              </w:rPr>
            </w:pPr>
            <w:r w:rsidRPr="003B7F7E">
              <w:rPr>
                <w:rFonts w:eastAsia="Calibri" w:cs="Arial"/>
                <w:sz w:val="20"/>
                <w:szCs w:val="20"/>
                <w:lang w:val="en-CA"/>
              </w:rPr>
              <w:t>R16</w:t>
            </w:r>
          </w:p>
        </w:tc>
      </w:tr>
      <w:tr w:rsidR="00E27A42" w:rsidRPr="003B7F7E" w14:paraId="178F00AF" w14:textId="77777777" w:rsidTr="006054BD">
        <w:trPr>
          <w:jc w:val="center"/>
        </w:trPr>
        <w:tc>
          <w:tcPr>
            <w:tcW w:w="704" w:type="dxa"/>
            <w:shd w:val="clear" w:color="auto" w:fill="auto"/>
          </w:tcPr>
          <w:p w14:paraId="1AAB1151" w14:textId="77777777" w:rsidR="00E27A42" w:rsidRPr="003B7F7E" w:rsidRDefault="00E27A42" w:rsidP="004A376C">
            <w:pPr>
              <w:spacing w:after="240" w:line="280" w:lineRule="atLeast"/>
              <w:jc w:val="center"/>
              <w:rPr>
                <w:rFonts w:eastAsia="Calibri" w:cs="Arial"/>
                <w:sz w:val="20"/>
                <w:szCs w:val="20"/>
                <w:lang w:val="en-CA"/>
              </w:rPr>
            </w:pPr>
            <w:r w:rsidRPr="003B7F7E">
              <w:rPr>
                <w:rFonts w:eastAsia="Calibri" w:cs="Arial"/>
                <w:sz w:val="20"/>
                <w:szCs w:val="20"/>
                <w:lang w:val="en-CA"/>
              </w:rPr>
              <w:t>Q1</w:t>
            </w:r>
            <w:r w:rsidR="007E723A" w:rsidRPr="003B7F7E">
              <w:rPr>
                <w:rFonts w:eastAsia="Calibri" w:cs="Arial"/>
                <w:sz w:val="20"/>
                <w:szCs w:val="20"/>
                <w:lang w:val="en-CA"/>
              </w:rPr>
              <w:t>7</w:t>
            </w:r>
          </w:p>
          <w:p w14:paraId="2FC41343" w14:textId="77777777" w:rsidR="00E27A42" w:rsidRPr="003B7F7E" w:rsidRDefault="00E27A42" w:rsidP="004A376C">
            <w:pPr>
              <w:spacing w:after="240" w:line="280" w:lineRule="atLeast"/>
              <w:jc w:val="center"/>
              <w:rPr>
                <w:rFonts w:eastAsia="Calibri" w:cs="Arial"/>
                <w:sz w:val="20"/>
                <w:szCs w:val="20"/>
                <w:lang w:val="en-CA"/>
              </w:rPr>
            </w:pPr>
          </w:p>
        </w:tc>
        <w:tc>
          <w:tcPr>
            <w:tcW w:w="4394" w:type="dxa"/>
          </w:tcPr>
          <w:p w14:paraId="1023CC15" w14:textId="77777777" w:rsidR="00E27A42" w:rsidRPr="003B7F7E" w:rsidRDefault="00E27A42" w:rsidP="004A376C">
            <w:pPr>
              <w:spacing w:after="240" w:line="280" w:lineRule="atLeast"/>
              <w:rPr>
                <w:rFonts w:eastAsia="Calibri" w:cs="Arial"/>
                <w:sz w:val="20"/>
                <w:szCs w:val="20"/>
                <w:lang w:val="en-CA"/>
              </w:rPr>
            </w:pPr>
            <w:r w:rsidRPr="003B7F7E">
              <w:rPr>
                <w:rFonts w:eastAsia="Calibri" w:cs="Arial"/>
                <w:sz w:val="20"/>
                <w:szCs w:val="20"/>
                <w:lang w:val="en-CA"/>
              </w:rPr>
              <w:t xml:space="preserve">It would be Canada’s plan that the basis of the price negotiation </w:t>
            </w:r>
            <w:r w:rsidR="00BB58B5" w:rsidRPr="003B7F7E">
              <w:rPr>
                <w:rFonts w:eastAsia="Calibri" w:cs="Arial"/>
                <w:sz w:val="20"/>
                <w:szCs w:val="20"/>
                <w:lang w:val="en-CA"/>
              </w:rPr>
              <w:t>c</w:t>
            </w:r>
            <w:r w:rsidRPr="003B7F7E">
              <w:rPr>
                <w:rFonts w:eastAsia="Calibri" w:cs="Arial"/>
                <w:sz w:val="20"/>
                <w:szCs w:val="20"/>
                <w:lang w:val="en-CA"/>
              </w:rPr>
              <w:t>ould include as an option an “open book” approach to negotiation.  Under this s</w:t>
            </w:r>
            <w:r w:rsidR="00BB58B5" w:rsidRPr="003B7F7E">
              <w:rPr>
                <w:rFonts w:eastAsia="Calibri" w:cs="Arial"/>
                <w:sz w:val="20"/>
                <w:szCs w:val="20"/>
                <w:lang w:val="en-CA"/>
              </w:rPr>
              <w:t>cenario, potential con</w:t>
            </w:r>
            <w:r w:rsidR="00D1040B" w:rsidRPr="003B7F7E">
              <w:rPr>
                <w:rFonts w:eastAsia="Calibri" w:cs="Arial"/>
                <w:sz w:val="20"/>
                <w:szCs w:val="20"/>
                <w:lang w:val="en-CA"/>
              </w:rPr>
              <w:t>sultant</w:t>
            </w:r>
            <w:r w:rsidR="00BB58B5" w:rsidRPr="003B7F7E">
              <w:rPr>
                <w:rFonts w:eastAsia="Calibri" w:cs="Arial"/>
                <w:sz w:val="20"/>
                <w:szCs w:val="20"/>
                <w:lang w:val="en-CA"/>
              </w:rPr>
              <w:t>s c</w:t>
            </w:r>
            <w:r w:rsidRPr="003B7F7E">
              <w:rPr>
                <w:rFonts w:eastAsia="Calibri" w:cs="Arial"/>
                <w:sz w:val="20"/>
                <w:szCs w:val="20"/>
                <w:lang w:val="en-CA"/>
              </w:rPr>
              <w:t>ould be required to provide Canada with the necessary supporting costing details of its operations and the planned project costs.  How would this condition affect your firm’s decision to participate in the RFP process?</w:t>
            </w:r>
          </w:p>
        </w:tc>
        <w:tc>
          <w:tcPr>
            <w:tcW w:w="4274" w:type="dxa"/>
          </w:tcPr>
          <w:p w14:paraId="4858F3D5" w14:textId="77777777" w:rsidR="00E27A42" w:rsidRPr="003B7F7E" w:rsidRDefault="00E0530B" w:rsidP="004A376C">
            <w:pPr>
              <w:spacing w:after="240" w:line="280" w:lineRule="atLeast"/>
              <w:rPr>
                <w:rFonts w:eastAsia="Calibri" w:cs="Arial"/>
                <w:sz w:val="20"/>
                <w:szCs w:val="20"/>
                <w:lang w:val="en-CA"/>
              </w:rPr>
            </w:pPr>
            <w:r w:rsidRPr="003B7F7E">
              <w:rPr>
                <w:rFonts w:eastAsia="Calibri" w:cs="Arial"/>
                <w:sz w:val="20"/>
                <w:szCs w:val="20"/>
                <w:lang w:val="en-CA"/>
              </w:rPr>
              <w:t>R17</w:t>
            </w:r>
          </w:p>
        </w:tc>
      </w:tr>
      <w:tr w:rsidR="0037616D" w:rsidRPr="003B7F7E" w14:paraId="5096C9AE" w14:textId="77777777" w:rsidTr="00B2685B">
        <w:trPr>
          <w:jc w:val="center"/>
        </w:trPr>
        <w:tc>
          <w:tcPr>
            <w:tcW w:w="93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419E5EE" w14:textId="77777777" w:rsidR="0037616D" w:rsidRPr="003B7F7E" w:rsidRDefault="00685B3E" w:rsidP="00FF42E8">
            <w:pPr>
              <w:spacing w:after="240" w:line="280" w:lineRule="atLeast"/>
              <w:rPr>
                <w:rFonts w:eastAsia="Calibri" w:cs="Arial"/>
                <w:sz w:val="20"/>
                <w:szCs w:val="20"/>
                <w:lang w:val="en-CA"/>
              </w:rPr>
            </w:pPr>
            <w:r w:rsidRPr="003B7F7E">
              <w:rPr>
                <w:rFonts w:eastAsia="Calibri" w:cs="Arial"/>
                <w:sz w:val="20"/>
                <w:szCs w:val="20"/>
                <w:lang w:val="en-CA"/>
              </w:rPr>
              <w:t>Social Procurement</w:t>
            </w:r>
          </w:p>
        </w:tc>
      </w:tr>
      <w:tr w:rsidR="006054BD" w:rsidRPr="003B7F7E" w14:paraId="5A036FD7" w14:textId="77777777" w:rsidTr="006054BD">
        <w:trPr>
          <w:jc w:val="center"/>
        </w:trPr>
        <w:tc>
          <w:tcPr>
            <w:tcW w:w="704" w:type="dxa"/>
            <w:shd w:val="clear" w:color="auto" w:fill="auto"/>
          </w:tcPr>
          <w:p w14:paraId="43C3F978" w14:textId="77777777" w:rsidR="006054BD" w:rsidRPr="003B7F7E" w:rsidRDefault="006054BD" w:rsidP="007E723A">
            <w:pPr>
              <w:spacing w:after="240" w:line="280" w:lineRule="atLeast"/>
              <w:jc w:val="center"/>
              <w:rPr>
                <w:rFonts w:eastAsia="Calibri" w:cs="Arial"/>
                <w:sz w:val="20"/>
                <w:szCs w:val="20"/>
                <w:lang w:val="en-CA"/>
              </w:rPr>
            </w:pPr>
            <w:r w:rsidRPr="003B7F7E">
              <w:rPr>
                <w:rFonts w:eastAsia="Calibri" w:cs="Arial"/>
                <w:sz w:val="20"/>
                <w:szCs w:val="20"/>
                <w:lang w:val="en-CA"/>
              </w:rPr>
              <w:t>Q</w:t>
            </w:r>
            <w:r w:rsidR="007E723A" w:rsidRPr="003B7F7E">
              <w:rPr>
                <w:rFonts w:eastAsia="Calibri" w:cs="Arial"/>
                <w:sz w:val="20"/>
                <w:szCs w:val="20"/>
                <w:lang w:val="en-CA"/>
              </w:rPr>
              <w:t>18</w:t>
            </w:r>
          </w:p>
        </w:tc>
        <w:tc>
          <w:tcPr>
            <w:tcW w:w="4394" w:type="dxa"/>
          </w:tcPr>
          <w:p w14:paraId="50464197" w14:textId="77777777" w:rsidR="006054BD" w:rsidRPr="003B7F7E" w:rsidRDefault="006054BD" w:rsidP="006054BD">
            <w:pPr>
              <w:spacing w:after="240" w:line="280" w:lineRule="atLeast"/>
              <w:rPr>
                <w:rFonts w:cs="Arial"/>
                <w:sz w:val="20"/>
                <w:szCs w:val="20"/>
              </w:rPr>
            </w:pPr>
            <w:r w:rsidRPr="003B7F7E">
              <w:rPr>
                <w:rFonts w:cs="Arial"/>
                <w:sz w:val="20"/>
                <w:szCs w:val="20"/>
              </w:rPr>
              <w:t>Could you recommend approaches for incorporating social procurement measures along with A&amp;ES procurements</w:t>
            </w:r>
            <w:r w:rsidRPr="003B7F7E">
              <w:rPr>
                <w:rFonts w:cs="Arial"/>
                <w:sz w:val="20"/>
                <w:szCs w:val="20"/>
                <w:lang w:val="en-CA"/>
              </w:rPr>
              <w:t>?</w:t>
            </w:r>
            <w:r w:rsidRPr="003B7F7E">
              <w:rPr>
                <w:rFonts w:cs="Arial"/>
                <w:sz w:val="20"/>
                <w:szCs w:val="20"/>
              </w:rPr>
              <w:t xml:space="preserve"> </w:t>
            </w:r>
          </w:p>
          <w:p w14:paraId="324F2542" w14:textId="77777777" w:rsidR="006054BD" w:rsidRPr="003B7F7E" w:rsidRDefault="006054BD" w:rsidP="006054BD">
            <w:pPr>
              <w:spacing w:after="240" w:line="280" w:lineRule="atLeast"/>
              <w:rPr>
                <w:rFonts w:eastAsia="Calibri" w:cs="Arial"/>
                <w:sz w:val="20"/>
                <w:szCs w:val="20"/>
                <w:lang w:val="en-CA"/>
              </w:rPr>
            </w:pPr>
            <w:r w:rsidRPr="003B7F7E">
              <w:rPr>
                <w:rFonts w:cs="Arial"/>
                <w:sz w:val="20"/>
                <w:szCs w:val="20"/>
              </w:rPr>
              <w:t>For example, one approach could be to include a rated criterion in the RFP Phase I to award</w:t>
            </w:r>
            <w:r w:rsidRPr="003B7F7E">
              <w:rPr>
                <w:rFonts w:cs="Arial"/>
                <w:sz w:val="20"/>
                <w:szCs w:val="20"/>
              </w:rPr>
              <w:br/>
              <w:t xml:space="preserve">5-15% of the total technical score to diverse suppliers. A diverse supplier is currently defined as a business owned or led by Canadians from underrepresented groups, such as women, Indigenous Peoples, persons with disabilities and visible minorities.  Each business is usually defined as being owned, operated and controlled by 51% of a given group (e.g., women-owned business, Indigenous-owned business, persons with disabilities-owned business, or visible minority-owned business). </w:t>
            </w:r>
          </w:p>
        </w:tc>
        <w:tc>
          <w:tcPr>
            <w:tcW w:w="4274" w:type="dxa"/>
          </w:tcPr>
          <w:p w14:paraId="215521EE" w14:textId="77777777" w:rsidR="006054BD" w:rsidRPr="003B7F7E" w:rsidRDefault="00BB02EE" w:rsidP="00BB02EE">
            <w:pPr>
              <w:spacing w:after="240" w:line="280" w:lineRule="atLeast"/>
              <w:rPr>
                <w:rFonts w:eastAsia="Calibri" w:cs="Arial"/>
                <w:sz w:val="20"/>
                <w:szCs w:val="20"/>
                <w:lang w:val="en-CA"/>
              </w:rPr>
            </w:pPr>
            <w:r w:rsidRPr="003B7F7E">
              <w:rPr>
                <w:rFonts w:eastAsia="Calibri" w:cs="Arial"/>
                <w:sz w:val="20"/>
                <w:szCs w:val="20"/>
                <w:lang w:val="en-CA"/>
              </w:rPr>
              <w:t>R</w:t>
            </w:r>
            <w:r w:rsidR="00E0530B" w:rsidRPr="003B7F7E">
              <w:rPr>
                <w:rFonts w:eastAsia="Calibri" w:cs="Arial"/>
                <w:sz w:val="20"/>
                <w:szCs w:val="20"/>
                <w:lang w:val="en-CA"/>
              </w:rPr>
              <w:t>18</w:t>
            </w:r>
          </w:p>
        </w:tc>
      </w:tr>
      <w:tr w:rsidR="006054BD" w:rsidRPr="003B7F7E" w14:paraId="05F2D497" w14:textId="77777777" w:rsidTr="006054BD">
        <w:trPr>
          <w:jc w:val="center"/>
        </w:trPr>
        <w:tc>
          <w:tcPr>
            <w:tcW w:w="704" w:type="dxa"/>
            <w:shd w:val="clear" w:color="auto" w:fill="auto"/>
          </w:tcPr>
          <w:p w14:paraId="50E676C7" w14:textId="77777777" w:rsidR="006054BD" w:rsidRPr="003B7F7E" w:rsidRDefault="006054BD" w:rsidP="007E723A">
            <w:pPr>
              <w:spacing w:after="240" w:line="280" w:lineRule="atLeast"/>
              <w:jc w:val="center"/>
              <w:rPr>
                <w:rFonts w:eastAsia="Calibri" w:cs="Arial"/>
                <w:sz w:val="20"/>
                <w:szCs w:val="20"/>
                <w:lang w:val="en-CA"/>
              </w:rPr>
            </w:pPr>
            <w:r w:rsidRPr="003B7F7E">
              <w:rPr>
                <w:rFonts w:eastAsia="Calibri" w:cs="Arial"/>
                <w:sz w:val="20"/>
                <w:szCs w:val="20"/>
                <w:lang w:val="en-CA"/>
              </w:rPr>
              <w:t>Q</w:t>
            </w:r>
            <w:r w:rsidR="007E723A" w:rsidRPr="003B7F7E">
              <w:rPr>
                <w:rFonts w:eastAsia="Calibri" w:cs="Arial"/>
                <w:sz w:val="20"/>
                <w:szCs w:val="20"/>
                <w:lang w:val="en-CA"/>
              </w:rPr>
              <w:t>19</w:t>
            </w:r>
          </w:p>
        </w:tc>
        <w:tc>
          <w:tcPr>
            <w:tcW w:w="4394" w:type="dxa"/>
          </w:tcPr>
          <w:p w14:paraId="34678ACF" w14:textId="77777777" w:rsidR="006054BD" w:rsidRPr="003B7F7E" w:rsidRDefault="006054BD" w:rsidP="006054BD">
            <w:pPr>
              <w:spacing w:after="240" w:line="280" w:lineRule="atLeast"/>
              <w:rPr>
                <w:rFonts w:eastAsia="Calibri" w:cs="Arial"/>
                <w:sz w:val="20"/>
                <w:szCs w:val="20"/>
                <w:lang w:val="en-CA"/>
              </w:rPr>
            </w:pPr>
            <w:r w:rsidRPr="003B7F7E">
              <w:rPr>
                <w:rFonts w:eastAsia="Calibri" w:cs="Arial"/>
                <w:sz w:val="20"/>
                <w:szCs w:val="20"/>
                <w:lang w:val="en-CA"/>
              </w:rPr>
              <w:t>With respect to increasing supplier diversity what measures would you propose PSPC consider?</w:t>
            </w:r>
          </w:p>
        </w:tc>
        <w:tc>
          <w:tcPr>
            <w:tcW w:w="4274" w:type="dxa"/>
          </w:tcPr>
          <w:p w14:paraId="0344EADD" w14:textId="77777777" w:rsidR="006054BD" w:rsidRPr="003B7F7E" w:rsidRDefault="00BB02EE" w:rsidP="006054BD">
            <w:pPr>
              <w:spacing w:after="240" w:line="280" w:lineRule="atLeast"/>
              <w:rPr>
                <w:rFonts w:eastAsia="Calibri" w:cs="Arial"/>
                <w:sz w:val="20"/>
                <w:szCs w:val="20"/>
                <w:lang w:val="en-CA"/>
              </w:rPr>
            </w:pPr>
            <w:r w:rsidRPr="003B7F7E">
              <w:rPr>
                <w:rFonts w:eastAsia="Calibri" w:cs="Arial"/>
                <w:sz w:val="20"/>
                <w:szCs w:val="20"/>
                <w:lang w:val="en-CA"/>
              </w:rPr>
              <w:t>R</w:t>
            </w:r>
            <w:r w:rsidR="00E0530B" w:rsidRPr="003B7F7E">
              <w:rPr>
                <w:rFonts w:eastAsia="Calibri" w:cs="Arial"/>
                <w:sz w:val="20"/>
                <w:szCs w:val="20"/>
                <w:lang w:val="en-CA"/>
              </w:rPr>
              <w:t>19</w:t>
            </w:r>
          </w:p>
        </w:tc>
      </w:tr>
      <w:tr w:rsidR="006054BD" w:rsidRPr="00E0530B" w14:paraId="4A370234" w14:textId="77777777" w:rsidTr="006054BD">
        <w:trPr>
          <w:jc w:val="center"/>
        </w:trPr>
        <w:tc>
          <w:tcPr>
            <w:tcW w:w="704" w:type="dxa"/>
          </w:tcPr>
          <w:p w14:paraId="4FD25017" w14:textId="77777777" w:rsidR="006054BD" w:rsidRPr="003B7F7E" w:rsidRDefault="006054BD" w:rsidP="00E0530B">
            <w:pPr>
              <w:spacing w:after="240" w:line="280" w:lineRule="atLeast"/>
              <w:rPr>
                <w:rFonts w:eastAsia="Calibri" w:cs="Arial"/>
                <w:sz w:val="20"/>
                <w:szCs w:val="20"/>
                <w:lang w:val="en-CA"/>
              </w:rPr>
            </w:pPr>
            <w:r w:rsidRPr="003B7F7E">
              <w:rPr>
                <w:rFonts w:eastAsia="Calibri" w:cs="Arial"/>
                <w:sz w:val="20"/>
                <w:szCs w:val="20"/>
                <w:lang w:val="en-CA"/>
              </w:rPr>
              <w:lastRenderedPageBreak/>
              <w:t>Q</w:t>
            </w:r>
            <w:r w:rsidR="007E723A" w:rsidRPr="003B7F7E">
              <w:rPr>
                <w:rFonts w:eastAsia="Calibri" w:cs="Arial"/>
                <w:sz w:val="20"/>
                <w:szCs w:val="20"/>
                <w:lang w:val="en-CA"/>
              </w:rPr>
              <w:t>20</w:t>
            </w:r>
          </w:p>
        </w:tc>
        <w:tc>
          <w:tcPr>
            <w:tcW w:w="4394" w:type="dxa"/>
          </w:tcPr>
          <w:p w14:paraId="52576BC5" w14:textId="77777777" w:rsidR="006054BD" w:rsidRPr="003B7F7E" w:rsidRDefault="006054BD" w:rsidP="00E0530B">
            <w:pPr>
              <w:spacing w:after="240" w:line="280" w:lineRule="atLeast"/>
              <w:rPr>
                <w:rFonts w:eastAsia="Calibri" w:cs="Arial"/>
                <w:sz w:val="20"/>
                <w:szCs w:val="20"/>
                <w:lang w:val="en-CA"/>
              </w:rPr>
            </w:pPr>
            <w:r w:rsidRPr="003B7F7E">
              <w:rPr>
                <w:rFonts w:eastAsia="Calibri" w:cs="Arial"/>
                <w:sz w:val="20"/>
                <w:szCs w:val="20"/>
                <w:lang w:val="en-CA"/>
              </w:rPr>
              <w:t>What approaches could PSPC undertake to increase accessibility and capacity of diversity in the procurement system?</w:t>
            </w:r>
          </w:p>
        </w:tc>
        <w:tc>
          <w:tcPr>
            <w:tcW w:w="4274" w:type="dxa"/>
          </w:tcPr>
          <w:p w14:paraId="7ECE44EC" w14:textId="77777777" w:rsidR="006054BD" w:rsidRPr="004A376C" w:rsidRDefault="00BB02EE" w:rsidP="00E0530B">
            <w:pPr>
              <w:spacing w:after="240" w:line="280" w:lineRule="atLeast"/>
              <w:rPr>
                <w:rFonts w:eastAsia="Calibri" w:cs="Arial"/>
                <w:sz w:val="20"/>
                <w:szCs w:val="20"/>
                <w:lang w:val="en-CA"/>
              </w:rPr>
            </w:pPr>
            <w:r w:rsidRPr="003B7F7E">
              <w:rPr>
                <w:rFonts w:eastAsia="Calibri" w:cs="Arial"/>
                <w:sz w:val="20"/>
                <w:szCs w:val="20"/>
                <w:lang w:val="en-CA"/>
              </w:rPr>
              <w:t>R</w:t>
            </w:r>
            <w:r w:rsidR="00E0530B" w:rsidRPr="003B7F7E">
              <w:rPr>
                <w:rFonts w:eastAsia="Calibri" w:cs="Arial"/>
                <w:sz w:val="20"/>
                <w:szCs w:val="20"/>
                <w:lang w:val="en-CA"/>
              </w:rPr>
              <w:t>20</w:t>
            </w:r>
          </w:p>
        </w:tc>
      </w:tr>
      <w:tr w:rsidR="00E0530B" w:rsidRPr="00E0530B" w14:paraId="28DD285A" w14:textId="77777777" w:rsidTr="006054BD">
        <w:trPr>
          <w:jc w:val="center"/>
        </w:trPr>
        <w:tc>
          <w:tcPr>
            <w:tcW w:w="704" w:type="dxa"/>
          </w:tcPr>
          <w:p w14:paraId="3B5C5118" w14:textId="77777777" w:rsidR="00E0530B" w:rsidRPr="004A376C" w:rsidRDefault="00E0530B" w:rsidP="00E0530B">
            <w:pPr>
              <w:spacing w:after="240" w:line="280" w:lineRule="atLeast"/>
              <w:rPr>
                <w:rFonts w:eastAsia="Calibri" w:cs="Arial"/>
                <w:sz w:val="20"/>
                <w:szCs w:val="20"/>
                <w:lang w:val="en-CA"/>
              </w:rPr>
            </w:pPr>
            <w:r>
              <w:rPr>
                <w:rFonts w:eastAsia="Calibri" w:cs="Arial"/>
                <w:sz w:val="20"/>
                <w:szCs w:val="20"/>
                <w:lang w:val="en-CA"/>
              </w:rPr>
              <w:t>Q21</w:t>
            </w:r>
          </w:p>
        </w:tc>
        <w:tc>
          <w:tcPr>
            <w:tcW w:w="4394" w:type="dxa"/>
          </w:tcPr>
          <w:p w14:paraId="5F9FD524" w14:textId="77777777" w:rsidR="00E0530B" w:rsidRPr="004A376C" w:rsidRDefault="00E0530B" w:rsidP="00BB02EE">
            <w:pPr>
              <w:spacing w:after="240" w:line="280" w:lineRule="atLeast"/>
              <w:rPr>
                <w:rFonts w:eastAsia="Calibri" w:cs="Arial"/>
                <w:sz w:val="20"/>
                <w:szCs w:val="20"/>
                <w:lang w:val="en-CA"/>
              </w:rPr>
            </w:pPr>
            <w:r>
              <w:rPr>
                <w:rFonts w:eastAsia="Calibri" w:cs="Arial"/>
                <w:sz w:val="20"/>
                <w:szCs w:val="20"/>
                <w:lang w:val="en-CA"/>
              </w:rPr>
              <w:t xml:space="preserve">Are you aware of any other organizations, besides those listed in </w:t>
            </w:r>
            <w:r w:rsidR="00BB02EE">
              <w:rPr>
                <w:rFonts w:eastAsia="Calibri" w:cs="Arial"/>
                <w:sz w:val="20"/>
                <w:szCs w:val="20"/>
                <w:lang w:val="en-CA"/>
              </w:rPr>
              <w:t xml:space="preserve">section </w:t>
            </w:r>
            <w:r>
              <w:rPr>
                <w:rFonts w:eastAsia="Calibri" w:cs="Arial"/>
                <w:sz w:val="20"/>
                <w:szCs w:val="20"/>
                <w:lang w:val="en-CA"/>
              </w:rPr>
              <w:t xml:space="preserve">4 of this RFI, that certify diverse suppliers or social enterprises? </w:t>
            </w:r>
          </w:p>
        </w:tc>
        <w:tc>
          <w:tcPr>
            <w:tcW w:w="4274" w:type="dxa"/>
          </w:tcPr>
          <w:p w14:paraId="11C0B49A" w14:textId="77777777" w:rsidR="00E0530B" w:rsidRPr="004A376C" w:rsidRDefault="00BB02EE" w:rsidP="004A376C">
            <w:pPr>
              <w:spacing w:after="240" w:line="280" w:lineRule="atLeast"/>
              <w:rPr>
                <w:rFonts w:eastAsia="Calibri" w:cs="Arial"/>
                <w:sz w:val="20"/>
                <w:szCs w:val="20"/>
                <w:lang w:val="en-CA"/>
              </w:rPr>
            </w:pPr>
            <w:r>
              <w:rPr>
                <w:rFonts w:eastAsia="Calibri" w:cs="Arial"/>
                <w:sz w:val="20"/>
                <w:szCs w:val="20"/>
                <w:lang w:val="en-CA"/>
              </w:rPr>
              <w:t>R</w:t>
            </w:r>
            <w:r w:rsidR="00E0530B">
              <w:rPr>
                <w:rFonts w:eastAsia="Calibri" w:cs="Arial"/>
                <w:sz w:val="20"/>
                <w:szCs w:val="20"/>
                <w:lang w:val="en-CA"/>
              </w:rPr>
              <w:t>21</w:t>
            </w:r>
          </w:p>
        </w:tc>
      </w:tr>
      <w:tr w:rsidR="00E0530B" w:rsidRPr="00E0530B" w14:paraId="2D1AB7BE" w14:textId="77777777" w:rsidTr="006054BD">
        <w:trPr>
          <w:jc w:val="center"/>
        </w:trPr>
        <w:tc>
          <w:tcPr>
            <w:tcW w:w="704" w:type="dxa"/>
          </w:tcPr>
          <w:p w14:paraId="4761C535" w14:textId="77777777" w:rsidR="00E0530B" w:rsidRPr="004A376C" w:rsidRDefault="00E0530B" w:rsidP="00E0530B">
            <w:pPr>
              <w:spacing w:after="240" w:line="280" w:lineRule="atLeast"/>
              <w:rPr>
                <w:rFonts w:eastAsia="Calibri" w:cs="Arial"/>
                <w:sz w:val="20"/>
                <w:szCs w:val="20"/>
                <w:lang w:val="en-CA"/>
              </w:rPr>
            </w:pPr>
            <w:r>
              <w:rPr>
                <w:rFonts w:eastAsia="Calibri" w:cs="Arial"/>
                <w:sz w:val="20"/>
                <w:szCs w:val="20"/>
                <w:lang w:val="en-CA"/>
              </w:rPr>
              <w:t>Q22</w:t>
            </w:r>
          </w:p>
        </w:tc>
        <w:tc>
          <w:tcPr>
            <w:tcW w:w="4394" w:type="dxa"/>
          </w:tcPr>
          <w:p w14:paraId="0CD76B28" w14:textId="77777777" w:rsidR="00E0530B" w:rsidRPr="00E0530B" w:rsidRDefault="00E0530B" w:rsidP="004A376C">
            <w:pPr>
              <w:spacing w:after="240" w:line="280" w:lineRule="atLeast"/>
              <w:rPr>
                <w:rFonts w:eastAsia="Calibri" w:cs="Arial"/>
                <w:sz w:val="20"/>
                <w:szCs w:val="20"/>
                <w:lang w:val="en-CA"/>
              </w:rPr>
            </w:pPr>
            <w:r w:rsidRPr="00E0530B">
              <w:rPr>
                <w:rFonts w:eastAsia="Calibri" w:cs="Arial"/>
                <w:sz w:val="20"/>
                <w:szCs w:val="20"/>
                <w:lang w:val="en-CA"/>
              </w:rPr>
              <w:t>Certification bodies typically charge a fee to certify a business as a diverse supplier or social enterprise. Are you willing to pay an extra fee to be certified? Do you think it is fair or creates a barrier for your entry?</w:t>
            </w:r>
          </w:p>
        </w:tc>
        <w:tc>
          <w:tcPr>
            <w:tcW w:w="4274" w:type="dxa"/>
          </w:tcPr>
          <w:p w14:paraId="3F369C65" w14:textId="77777777" w:rsidR="00E0530B" w:rsidRPr="004A376C" w:rsidRDefault="00BB02EE" w:rsidP="004A376C">
            <w:pPr>
              <w:spacing w:after="240" w:line="280" w:lineRule="atLeast"/>
              <w:rPr>
                <w:rFonts w:eastAsia="Calibri" w:cs="Arial"/>
                <w:sz w:val="20"/>
                <w:szCs w:val="20"/>
                <w:lang w:val="en-CA"/>
              </w:rPr>
            </w:pPr>
            <w:r>
              <w:rPr>
                <w:rFonts w:eastAsia="Calibri" w:cs="Arial"/>
                <w:sz w:val="20"/>
                <w:szCs w:val="20"/>
                <w:lang w:val="en-CA"/>
              </w:rPr>
              <w:t>R</w:t>
            </w:r>
            <w:r w:rsidR="00E0530B">
              <w:rPr>
                <w:rFonts w:eastAsia="Calibri" w:cs="Arial"/>
                <w:sz w:val="20"/>
                <w:szCs w:val="20"/>
                <w:lang w:val="en-CA"/>
              </w:rPr>
              <w:t>22</w:t>
            </w:r>
          </w:p>
        </w:tc>
      </w:tr>
      <w:tr w:rsidR="00BB02EE" w:rsidRPr="00BB02EE" w14:paraId="447E1C9F" w14:textId="77777777" w:rsidTr="006054BD">
        <w:trPr>
          <w:jc w:val="center"/>
        </w:trPr>
        <w:tc>
          <w:tcPr>
            <w:tcW w:w="704" w:type="dxa"/>
          </w:tcPr>
          <w:p w14:paraId="7507C0D2" w14:textId="77777777" w:rsidR="00BB02EE" w:rsidRPr="004A376C" w:rsidRDefault="00BB02EE" w:rsidP="00BB02EE">
            <w:pPr>
              <w:spacing w:after="240" w:line="280" w:lineRule="atLeast"/>
              <w:rPr>
                <w:rFonts w:eastAsia="Calibri" w:cs="Arial"/>
                <w:sz w:val="20"/>
                <w:szCs w:val="20"/>
                <w:lang w:val="en-CA"/>
              </w:rPr>
            </w:pPr>
            <w:r>
              <w:rPr>
                <w:rFonts w:eastAsia="Calibri" w:cs="Arial"/>
                <w:sz w:val="20"/>
                <w:szCs w:val="20"/>
                <w:lang w:val="en-CA"/>
              </w:rPr>
              <w:t>Q23</w:t>
            </w:r>
          </w:p>
        </w:tc>
        <w:tc>
          <w:tcPr>
            <w:tcW w:w="4394" w:type="dxa"/>
          </w:tcPr>
          <w:p w14:paraId="70F85F6A" w14:textId="51C4EAB8" w:rsidR="00BB02EE" w:rsidRPr="00BB02EE" w:rsidRDefault="00BB02EE" w:rsidP="004A376C">
            <w:pPr>
              <w:spacing w:after="240" w:line="280" w:lineRule="atLeast"/>
              <w:rPr>
                <w:rFonts w:eastAsia="Calibri" w:cs="Arial"/>
                <w:sz w:val="20"/>
                <w:szCs w:val="20"/>
                <w:lang w:val="en-CA"/>
              </w:rPr>
            </w:pPr>
            <w:r w:rsidRPr="00BB02EE">
              <w:rPr>
                <w:rFonts w:eastAsia="Calibri" w:cs="Arial"/>
                <w:sz w:val="20"/>
                <w:szCs w:val="20"/>
                <w:lang w:val="en-CA"/>
              </w:rPr>
              <w:t>Should PSPC use attestation (self-certification) followed by audits, or certification by established certification organizations to qualify diverse suppliers and social enterprises? What other methods would you propose we use to verify diverse suppliers?</w:t>
            </w:r>
          </w:p>
        </w:tc>
        <w:tc>
          <w:tcPr>
            <w:tcW w:w="4274" w:type="dxa"/>
          </w:tcPr>
          <w:p w14:paraId="037165A4" w14:textId="77777777" w:rsidR="00BB02EE" w:rsidRDefault="00BB02EE" w:rsidP="004A376C">
            <w:pPr>
              <w:spacing w:after="240" w:line="280" w:lineRule="atLeast"/>
              <w:rPr>
                <w:rFonts w:eastAsia="Calibri" w:cs="Arial"/>
                <w:sz w:val="20"/>
                <w:szCs w:val="20"/>
                <w:lang w:val="en-CA"/>
              </w:rPr>
            </w:pPr>
            <w:r>
              <w:rPr>
                <w:rFonts w:eastAsia="Calibri" w:cs="Arial"/>
                <w:sz w:val="20"/>
                <w:szCs w:val="20"/>
                <w:lang w:val="en-CA"/>
              </w:rPr>
              <w:t>R23</w:t>
            </w:r>
          </w:p>
          <w:p w14:paraId="3054E912" w14:textId="77777777" w:rsidR="00BB02EE" w:rsidRDefault="00BB02EE" w:rsidP="004A376C">
            <w:pPr>
              <w:spacing w:after="240" w:line="280" w:lineRule="atLeast"/>
              <w:rPr>
                <w:rFonts w:eastAsia="Calibri" w:cs="Arial"/>
                <w:sz w:val="20"/>
                <w:szCs w:val="20"/>
                <w:lang w:val="en-CA"/>
              </w:rPr>
            </w:pPr>
          </w:p>
        </w:tc>
      </w:tr>
      <w:tr w:rsidR="00BB02EE" w:rsidRPr="00BB02EE" w14:paraId="4CBA82DF" w14:textId="77777777" w:rsidTr="006054BD">
        <w:trPr>
          <w:jc w:val="center"/>
        </w:trPr>
        <w:tc>
          <w:tcPr>
            <w:tcW w:w="704" w:type="dxa"/>
          </w:tcPr>
          <w:p w14:paraId="351CEBBC" w14:textId="77777777" w:rsidR="00BB02EE" w:rsidRPr="004A376C" w:rsidRDefault="00BB02EE" w:rsidP="00BB02EE">
            <w:pPr>
              <w:spacing w:after="240" w:line="280" w:lineRule="atLeast"/>
              <w:rPr>
                <w:rFonts w:eastAsia="Calibri" w:cs="Arial"/>
                <w:sz w:val="20"/>
                <w:szCs w:val="20"/>
                <w:lang w:val="en-CA"/>
              </w:rPr>
            </w:pPr>
            <w:r>
              <w:rPr>
                <w:rFonts w:eastAsia="Calibri" w:cs="Arial"/>
                <w:sz w:val="20"/>
                <w:szCs w:val="20"/>
                <w:lang w:val="en-CA"/>
              </w:rPr>
              <w:t>Q24</w:t>
            </w:r>
          </w:p>
        </w:tc>
        <w:tc>
          <w:tcPr>
            <w:tcW w:w="4394" w:type="dxa"/>
          </w:tcPr>
          <w:p w14:paraId="70983253" w14:textId="4B4FDC58" w:rsidR="00BB02EE" w:rsidRPr="00BB02EE" w:rsidRDefault="00BB02EE" w:rsidP="004A376C">
            <w:pPr>
              <w:spacing w:after="240" w:line="280" w:lineRule="atLeast"/>
              <w:rPr>
                <w:rFonts w:eastAsia="Calibri" w:cs="Arial"/>
                <w:sz w:val="20"/>
                <w:szCs w:val="20"/>
                <w:lang w:val="en-CA"/>
              </w:rPr>
            </w:pPr>
            <w:r w:rsidRPr="00BB02EE">
              <w:rPr>
                <w:rFonts w:eastAsia="Calibri" w:cs="Arial"/>
                <w:sz w:val="20"/>
                <w:szCs w:val="20"/>
                <w:lang w:val="en-CA"/>
              </w:rPr>
              <w:t xml:space="preserve">Do you anticipate the government of Canada’s commitment to increasing the diversity of businesses owned or led by Canadians from underrepresented groups will have an impact on your participation in </w:t>
            </w:r>
            <w:r w:rsidR="00AB7E8E">
              <w:rPr>
                <w:rFonts w:eastAsia="Calibri" w:cs="Arial"/>
                <w:sz w:val="20"/>
                <w:szCs w:val="20"/>
                <w:lang w:val="en-CA"/>
              </w:rPr>
              <w:t>A</w:t>
            </w:r>
            <w:r w:rsidRPr="00BB02EE">
              <w:rPr>
                <w:rFonts w:eastAsia="Calibri" w:cs="Arial"/>
                <w:sz w:val="20"/>
                <w:szCs w:val="20"/>
                <w:lang w:val="en-CA"/>
              </w:rPr>
              <w:t>&amp;ES procurements?</w:t>
            </w:r>
          </w:p>
        </w:tc>
        <w:tc>
          <w:tcPr>
            <w:tcW w:w="4274" w:type="dxa"/>
          </w:tcPr>
          <w:p w14:paraId="19CF9CAE" w14:textId="77777777" w:rsidR="00BB02EE" w:rsidRDefault="00BB02EE" w:rsidP="004A376C">
            <w:pPr>
              <w:spacing w:after="240" w:line="280" w:lineRule="atLeast"/>
              <w:rPr>
                <w:rFonts w:eastAsia="Calibri" w:cs="Arial"/>
                <w:sz w:val="20"/>
                <w:szCs w:val="20"/>
                <w:lang w:val="en-CA"/>
              </w:rPr>
            </w:pPr>
            <w:r>
              <w:rPr>
                <w:rFonts w:eastAsia="Calibri" w:cs="Arial"/>
                <w:sz w:val="20"/>
                <w:szCs w:val="20"/>
                <w:lang w:val="en-CA"/>
              </w:rPr>
              <w:t>R24</w:t>
            </w:r>
          </w:p>
        </w:tc>
      </w:tr>
      <w:tr w:rsidR="00BB02EE" w:rsidRPr="00BB02EE" w14:paraId="0C19D5BD" w14:textId="77777777" w:rsidTr="006054BD">
        <w:trPr>
          <w:jc w:val="center"/>
        </w:trPr>
        <w:tc>
          <w:tcPr>
            <w:tcW w:w="704" w:type="dxa"/>
          </w:tcPr>
          <w:p w14:paraId="2A3B7FAD" w14:textId="77777777" w:rsidR="00BB02EE" w:rsidRPr="004A376C" w:rsidRDefault="00BB02EE" w:rsidP="00BB02EE">
            <w:pPr>
              <w:spacing w:after="240" w:line="280" w:lineRule="atLeast"/>
              <w:rPr>
                <w:rFonts w:eastAsia="Calibri" w:cs="Arial"/>
                <w:sz w:val="20"/>
                <w:szCs w:val="20"/>
                <w:lang w:val="en-CA"/>
              </w:rPr>
            </w:pPr>
            <w:r>
              <w:rPr>
                <w:rFonts w:eastAsia="Calibri" w:cs="Arial"/>
                <w:sz w:val="20"/>
                <w:szCs w:val="20"/>
                <w:lang w:val="en-CA"/>
              </w:rPr>
              <w:t>Q25</w:t>
            </w:r>
          </w:p>
        </w:tc>
        <w:tc>
          <w:tcPr>
            <w:tcW w:w="4394" w:type="dxa"/>
          </w:tcPr>
          <w:p w14:paraId="0EDEA4D7" w14:textId="0A6D6B04" w:rsidR="00BB02EE" w:rsidRPr="00BB02EE" w:rsidRDefault="00BB02EE" w:rsidP="004A376C">
            <w:pPr>
              <w:spacing w:after="240" w:line="280" w:lineRule="atLeast"/>
              <w:rPr>
                <w:rFonts w:eastAsia="Calibri" w:cs="Arial"/>
                <w:sz w:val="20"/>
                <w:szCs w:val="20"/>
                <w:lang w:val="en-CA"/>
              </w:rPr>
            </w:pPr>
            <w:r w:rsidRPr="00BB02EE">
              <w:rPr>
                <w:rFonts w:eastAsia="Calibri" w:cs="Arial"/>
                <w:sz w:val="20"/>
                <w:szCs w:val="20"/>
                <w:lang w:val="en-CA"/>
              </w:rPr>
              <w:t>What other measures could be incorporated into this method of supply to leverage the government’s buying power to support the objectives of the Minister’s mandate letter stated in 4.2 of the RFI?</w:t>
            </w:r>
          </w:p>
        </w:tc>
        <w:tc>
          <w:tcPr>
            <w:tcW w:w="4274" w:type="dxa"/>
          </w:tcPr>
          <w:p w14:paraId="0E667817" w14:textId="77777777" w:rsidR="00BB02EE" w:rsidRDefault="00BB02EE" w:rsidP="004A376C">
            <w:pPr>
              <w:spacing w:after="240" w:line="280" w:lineRule="atLeast"/>
              <w:rPr>
                <w:rFonts w:eastAsia="Calibri" w:cs="Arial"/>
                <w:sz w:val="20"/>
                <w:szCs w:val="20"/>
                <w:lang w:val="en-CA"/>
              </w:rPr>
            </w:pPr>
            <w:r>
              <w:rPr>
                <w:rFonts w:eastAsia="Calibri" w:cs="Arial"/>
                <w:sz w:val="20"/>
                <w:szCs w:val="20"/>
                <w:lang w:val="en-CA"/>
              </w:rPr>
              <w:t>R25</w:t>
            </w:r>
          </w:p>
        </w:tc>
      </w:tr>
      <w:tr w:rsidR="00A8147B" w:rsidRPr="004A376C" w14:paraId="3C455B4D" w14:textId="77777777" w:rsidTr="006054BD">
        <w:trPr>
          <w:jc w:val="center"/>
        </w:trPr>
        <w:tc>
          <w:tcPr>
            <w:tcW w:w="704" w:type="dxa"/>
          </w:tcPr>
          <w:p w14:paraId="56295CCB" w14:textId="77777777" w:rsidR="00A8147B" w:rsidRPr="004A376C" w:rsidRDefault="00A8147B" w:rsidP="00BB02EE">
            <w:pPr>
              <w:spacing w:after="240" w:line="280" w:lineRule="atLeast"/>
              <w:jc w:val="center"/>
              <w:rPr>
                <w:rFonts w:eastAsia="Calibri" w:cs="Arial"/>
                <w:sz w:val="20"/>
                <w:szCs w:val="20"/>
                <w:lang w:val="en-CA"/>
              </w:rPr>
            </w:pPr>
            <w:r w:rsidRPr="004A376C">
              <w:rPr>
                <w:rFonts w:eastAsia="Calibri" w:cs="Arial"/>
                <w:sz w:val="20"/>
                <w:szCs w:val="20"/>
                <w:lang w:val="en-CA"/>
              </w:rPr>
              <w:t>Q</w:t>
            </w:r>
            <w:r w:rsidR="00BB02EE">
              <w:rPr>
                <w:rFonts w:eastAsia="Calibri" w:cs="Arial"/>
                <w:sz w:val="20"/>
                <w:szCs w:val="20"/>
                <w:lang w:val="en-CA"/>
              </w:rPr>
              <w:t>26</w:t>
            </w:r>
          </w:p>
        </w:tc>
        <w:tc>
          <w:tcPr>
            <w:tcW w:w="4394" w:type="dxa"/>
          </w:tcPr>
          <w:p w14:paraId="0BD9CD3D" w14:textId="77777777" w:rsidR="00A8147B" w:rsidRPr="004A376C" w:rsidRDefault="00A8147B" w:rsidP="004A376C">
            <w:pPr>
              <w:spacing w:after="240" w:line="280" w:lineRule="atLeast"/>
              <w:rPr>
                <w:rFonts w:eastAsia="Calibri" w:cs="Arial"/>
                <w:sz w:val="20"/>
                <w:szCs w:val="20"/>
                <w:lang w:val="en-CA"/>
              </w:rPr>
            </w:pPr>
            <w:r w:rsidRPr="004A376C">
              <w:rPr>
                <w:rFonts w:eastAsia="Calibri" w:cs="Arial"/>
                <w:sz w:val="20"/>
                <w:szCs w:val="20"/>
                <w:lang w:val="en-CA"/>
              </w:rPr>
              <w:t xml:space="preserve">Do you have any other comments or recommendations?  </w:t>
            </w:r>
          </w:p>
        </w:tc>
        <w:tc>
          <w:tcPr>
            <w:tcW w:w="4274" w:type="dxa"/>
          </w:tcPr>
          <w:p w14:paraId="3DA34971" w14:textId="77777777" w:rsidR="00A8147B" w:rsidRPr="004A376C" w:rsidRDefault="00BB02EE" w:rsidP="004A376C">
            <w:pPr>
              <w:spacing w:after="240" w:line="280" w:lineRule="atLeast"/>
              <w:rPr>
                <w:rFonts w:eastAsia="Calibri" w:cs="Arial"/>
                <w:sz w:val="20"/>
                <w:szCs w:val="20"/>
                <w:lang w:val="en-CA"/>
              </w:rPr>
            </w:pPr>
            <w:r>
              <w:rPr>
                <w:rFonts w:eastAsia="Calibri" w:cs="Arial"/>
                <w:sz w:val="20"/>
                <w:szCs w:val="20"/>
                <w:lang w:val="en-CA"/>
              </w:rPr>
              <w:t>R26</w:t>
            </w:r>
          </w:p>
        </w:tc>
      </w:tr>
    </w:tbl>
    <w:p w14:paraId="4BCC7E5A" w14:textId="77777777" w:rsidR="00A8147B" w:rsidRPr="000019CB" w:rsidRDefault="00A8147B" w:rsidP="000019CB"/>
    <w:sectPr w:rsidR="00A8147B" w:rsidRPr="000019CB" w:rsidSect="004E7CE2">
      <w:headerReference w:type="default" r:id="rId11"/>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048A" w14:textId="77777777" w:rsidR="00BD0986" w:rsidRDefault="00BD0986" w:rsidP="00042842">
      <w:r>
        <w:separator/>
      </w:r>
    </w:p>
  </w:endnote>
  <w:endnote w:type="continuationSeparator" w:id="0">
    <w:p w14:paraId="4B1A7BA9" w14:textId="77777777" w:rsidR="00BD0986" w:rsidRDefault="00BD0986" w:rsidP="0004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520302"/>
      <w:docPartObj>
        <w:docPartGallery w:val="Page Numbers (Bottom of Page)"/>
        <w:docPartUnique/>
      </w:docPartObj>
    </w:sdtPr>
    <w:sdtEndPr>
      <w:rPr>
        <w:noProof/>
      </w:rPr>
    </w:sdtEndPr>
    <w:sdtContent>
      <w:p w14:paraId="0875BEFE" w14:textId="75BAED67" w:rsidR="00CD5D7E" w:rsidRPr="007C582A" w:rsidRDefault="00CD5D7E" w:rsidP="00CD5D7E">
        <w:pPr>
          <w:pStyle w:val="Footer"/>
          <w:jc w:val="center"/>
          <w:rPr>
            <w:rFonts w:cs="Arial"/>
            <w:sz w:val="20"/>
            <w:szCs w:val="20"/>
          </w:rPr>
        </w:pPr>
        <w:r w:rsidRPr="00690006">
          <w:rPr>
            <w:rFonts w:cs="Arial"/>
            <w:sz w:val="20"/>
            <w:szCs w:val="20"/>
          </w:rPr>
          <w:t xml:space="preserve"> </w:t>
        </w:r>
      </w:p>
      <w:p w14:paraId="4E4A3C57" w14:textId="7054BBFC" w:rsidR="00101E18" w:rsidRDefault="00BD0986">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99B51" w14:textId="77777777" w:rsidR="00BD0986" w:rsidRDefault="00BD0986" w:rsidP="00042842">
      <w:r>
        <w:separator/>
      </w:r>
    </w:p>
  </w:footnote>
  <w:footnote w:type="continuationSeparator" w:id="0">
    <w:p w14:paraId="3210A89C" w14:textId="77777777" w:rsidR="00BD0986" w:rsidRDefault="00BD0986" w:rsidP="0004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D5F5" w14:textId="60592F6E" w:rsidR="00101E18" w:rsidRDefault="00101E18" w:rsidP="00082A40">
    <w:pPr>
      <w:pStyle w:val="Header"/>
      <w:ind w:left="-567"/>
    </w:pPr>
    <w:r w:rsidRPr="00082A40">
      <w:rPr>
        <w:noProof/>
        <w:sz w:val="16"/>
        <w:szCs w:val="16"/>
        <w:lang w:val="en-CA" w:eastAsia="en-CA"/>
      </w:rPr>
      <w:drawing>
        <wp:inline distT="0" distB="0" distL="0" distR="0" wp14:anchorId="500BAAA0" wp14:editId="6A9D9523">
          <wp:extent cx="2397425" cy="350520"/>
          <wp:effectExtent l="0" t="0" r="3175" b="0"/>
          <wp:docPr id="8" name="Picture 8" descr="http://intranet.tpsgc-pwgsc.gc.ca/ppc/telechargements-downloads/images/signature/print/signature-bw-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psgc-pwgsc.gc.ca/ppc/telechargements-downloads/images/signature/print/signature-bw-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317" cy="351820"/>
                  </a:xfrm>
                  <a:prstGeom prst="rect">
                    <a:avLst/>
                  </a:prstGeom>
                  <a:noFill/>
                  <a:ln>
                    <a:noFill/>
                  </a:ln>
                </pic:spPr>
              </pic:pic>
            </a:graphicData>
          </a:graphic>
        </wp:inline>
      </w:drawing>
    </w:r>
    <w:r w:rsidR="002853F1" w:rsidRPr="0077320A">
      <w:rPr>
        <w:noProof/>
        <w:lang w:val="en-CA" w:eastAsia="en-CA"/>
      </w:rPr>
      <w:drawing>
        <wp:inline distT="0" distB="0" distL="0" distR="0" wp14:anchorId="587D81E6" wp14:editId="092C5BA0">
          <wp:extent cx="5943600" cy="83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83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F9C"/>
    <w:multiLevelType w:val="multilevel"/>
    <w:tmpl w:val="5D7481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85B7A"/>
    <w:multiLevelType w:val="hybridMultilevel"/>
    <w:tmpl w:val="3B5ECF9C"/>
    <w:lvl w:ilvl="0" w:tplc="1009001B">
      <w:start w:val="1"/>
      <w:numFmt w:val="lowerRoman"/>
      <w:lvlText w:val="%1."/>
      <w:lvlJc w:val="right"/>
      <w:pPr>
        <w:ind w:left="115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AF6D9D"/>
    <w:multiLevelType w:val="hybridMultilevel"/>
    <w:tmpl w:val="FBAA442C"/>
    <w:lvl w:ilvl="0" w:tplc="1009001B">
      <w:start w:val="1"/>
      <w:numFmt w:val="lowerRoman"/>
      <w:lvlText w:val="%1."/>
      <w:lvlJc w:val="right"/>
      <w:pPr>
        <w:ind w:left="1872" w:hanging="360"/>
      </w:p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abstractNum w:abstractNumId="3" w15:restartNumberingAfterBreak="0">
    <w:nsid w:val="07D054EC"/>
    <w:multiLevelType w:val="multilevel"/>
    <w:tmpl w:val="34A859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8347418"/>
    <w:multiLevelType w:val="hybridMultilevel"/>
    <w:tmpl w:val="201C5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1C644D"/>
    <w:multiLevelType w:val="hybridMultilevel"/>
    <w:tmpl w:val="E0E681B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BD0432A"/>
    <w:multiLevelType w:val="multilevel"/>
    <w:tmpl w:val="C616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003670"/>
    <w:multiLevelType w:val="hybridMultilevel"/>
    <w:tmpl w:val="43B262AC"/>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0C0149B"/>
    <w:multiLevelType w:val="multilevel"/>
    <w:tmpl w:val="797E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906DF"/>
    <w:multiLevelType w:val="hybridMultilevel"/>
    <w:tmpl w:val="713ECE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B662C46"/>
    <w:multiLevelType w:val="hybridMultilevel"/>
    <w:tmpl w:val="455AE93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D4D261D"/>
    <w:multiLevelType w:val="hybridMultilevel"/>
    <w:tmpl w:val="3878A5AC"/>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351059"/>
    <w:multiLevelType w:val="hybridMultilevel"/>
    <w:tmpl w:val="BB6CA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A2021A"/>
    <w:multiLevelType w:val="hybridMultilevel"/>
    <w:tmpl w:val="9E0242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945C26"/>
    <w:multiLevelType w:val="multilevel"/>
    <w:tmpl w:val="AE1864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E512A"/>
    <w:multiLevelType w:val="multilevel"/>
    <w:tmpl w:val="20500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3D6489"/>
    <w:multiLevelType w:val="hybridMultilevel"/>
    <w:tmpl w:val="7584BC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7244DE"/>
    <w:multiLevelType w:val="hybridMultilevel"/>
    <w:tmpl w:val="7488F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3A04D9"/>
    <w:multiLevelType w:val="multilevel"/>
    <w:tmpl w:val="356E08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3E405D5D"/>
    <w:multiLevelType w:val="hybridMultilevel"/>
    <w:tmpl w:val="EF6C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776453"/>
    <w:multiLevelType w:val="hybridMultilevel"/>
    <w:tmpl w:val="3E581F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E529A8"/>
    <w:multiLevelType w:val="hybridMultilevel"/>
    <w:tmpl w:val="B13CCB22"/>
    <w:lvl w:ilvl="0" w:tplc="1009000F">
      <w:start w:val="1"/>
      <w:numFmt w:val="decimal"/>
      <w:lvlText w:val="%1."/>
      <w:lvlJc w:val="left"/>
      <w:pPr>
        <w:ind w:left="720" w:hanging="360"/>
      </w:pPr>
      <w:rPr>
        <w:rFonts w:hint="default"/>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493025"/>
    <w:multiLevelType w:val="hybridMultilevel"/>
    <w:tmpl w:val="72161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6566DA"/>
    <w:multiLevelType w:val="multilevel"/>
    <w:tmpl w:val="06FC7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935E3C"/>
    <w:multiLevelType w:val="hybridMultilevel"/>
    <w:tmpl w:val="D3A28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E32222"/>
    <w:multiLevelType w:val="multilevel"/>
    <w:tmpl w:val="3D64B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F152E09"/>
    <w:multiLevelType w:val="hybridMultilevel"/>
    <w:tmpl w:val="7C46F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175A74"/>
    <w:multiLevelType w:val="multilevel"/>
    <w:tmpl w:val="C49C14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BE522B"/>
    <w:multiLevelType w:val="hybridMultilevel"/>
    <w:tmpl w:val="01A457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BE1E6E"/>
    <w:multiLevelType w:val="multilevel"/>
    <w:tmpl w:val="226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F70AE"/>
    <w:multiLevelType w:val="multilevel"/>
    <w:tmpl w:val="311A1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381B27"/>
    <w:multiLevelType w:val="hybridMultilevel"/>
    <w:tmpl w:val="A2CCE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3F7E7F"/>
    <w:multiLevelType w:val="hybridMultilevel"/>
    <w:tmpl w:val="684A69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6651911"/>
    <w:multiLevelType w:val="hybridMultilevel"/>
    <w:tmpl w:val="C966DA14"/>
    <w:lvl w:ilvl="0" w:tplc="1009000F">
      <w:start w:val="1"/>
      <w:numFmt w:val="decimal"/>
      <w:lvlText w:val="%1."/>
      <w:lvlJc w:val="left"/>
      <w:pPr>
        <w:ind w:left="115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B286128"/>
    <w:multiLevelType w:val="hybridMultilevel"/>
    <w:tmpl w:val="FE3273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E0A6A3C"/>
    <w:multiLevelType w:val="hybridMultilevel"/>
    <w:tmpl w:val="9BBAB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8D5467"/>
    <w:multiLevelType w:val="hybridMultilevel"/>
    <w:tmpl w:val="8ED05F30"/>
    <w:lvl w:ilvl="0" w:tplc="1009000F">
      <w:start w:val="1"/>
      <w:numFmt w:val="decimal"/>
      <w:lvlText w:val="%1."/>
      <w:lvlJc w:val="left"/>
      <w:pPr>
        <w:ind w:left="1152" w:hanging="360"/>
      </w:p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37" w15:restartNumberingAfterBreak="0">
    <w:nsid w:val="615E1C0C"/>
    <w:multiLevelType w:val="singleLevel"/>
    <w:tmpl w:val="7130D666"/>
    <w:lvl w:ilvl="0">
      <w:numFmt w:val="none"/>
      <w:lvlText w:val=""/>
      <w:legacy w:legacy="1" w:legacySpace="0" w:legacyIndent="360"/>
      <w:lvlJc w:val="left"/>
      <w:pPr>
        <w:ind w:left="432" w:hanging="360"/>
      </w:pPr>
      <w:rPr>
        <w:rFonts w:ascii="Wingdings" w:hAnsi="Wingdings" w:hint="default"/>
        <w:sz w:val="24"/>
      </w:rPr>
    </w:lvl>
  </w:abstractNum>
  <w:abstractNum w:abstractNumId="38" w15:restartNumberingAfterBreak="0">
    <w:nsid w:val="67974D84"/>
    <w:multiLevelType w:val="hybridMultilevel"/>
    <w:tmpl w:val="EE90B5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B95512"/>
    <w:multiLevelType w:val="hybridMultilevel"/>
    <w:tmpl w:val="D74AE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973BB4"/>
    <w:multiLevelType w:val="multilevel"/>
    <w:tmpl w:val="6BE83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8B5671"/>
    <w:multiLevelType w:val="multilevel"/>
    <w:tmpl w:val="FCF881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EB1CBD"/>
    <w:multiLevelType w:val="hybridMultilevel"/>
    <w:tmpl w:val="339C6C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1"/>
  </w:num>
  <w:num w:numId="2">
    <w:abstractNumId w:val="16"/>
  </w:num>
  <w:num w:numId="3">
    <w:abstractNumId w:val="10"/>
  </w:num>
  <w:num w:numId="4">
    <w:abstractNumId w:val="21"/>
  </w:num>
  <w:num w:numId="5">
    <w:abstractNumId w:val="39"/>
  </w:num>
  <w:num w:numId="6">
    <w:abstractNumId w:val="36"/>
  </w:num>
  <w:num w:numId="7">
    <w:abstractNumId w:val="17"/>
  </w:num>
  <w:num w:numId="8">
    <w:abstractNumId w:val="12"/>
  </w:num>
  <w:num w:numId="9">
    <w:abstractNumId w:val="37"/>
  </w:num>
  <w:num w:numId="10">
    <w:abstractNumId w:val="7"/>
  </w:num>
  <w:num w:numId="11">
    <w:abstractNumId w:val="2"/>
  </w:num>
  <w:num w:numId="12">
    <w:abstractNumId w:val="33"/>
  </w:num>
  <w:num w:numId="13">
    <w:abstractNumId w:val="1"/>
  </w:num>
  <w:num w:numId="14">
    <w:abstractNumId w:val="8"/>
  </w:num>
  <w:num w:numId="15">
    <w:abstractNumId w:val="26"/>
  </w:num>
  <w:num w:numId="16">
    <w:abstractNumId w:val="22"/>
  </w:num>
  <w:num w:numId="17">
    <w:abstractNumId w:val="31"/>
  </w:num>
  <w:num w:numId="18">
    <w:abstractNumId w:val="35"/>
  </w:num>
  <w:num w:numId="19">
    <w:abstractNumId w:val="32"/>
  </w:num>
  <w:num w:numId="20">
    <w:abstractNumId w:val="38"/>
  </w:num>
  <w:num w:numId="21">
    <w:abstractNumId w:val="4"/>
  </w:num>
  <w:num w:numId="22">
    <w:abstractNumId w:val="29"/>
  </w:num>
  <w:num w:numId="23">
    <w:abstractNumId w:val="13"/>
  </w:num>
  <w:num w:numId="24">
    <w:abstractNumId w:val="20"/>
  </w:num>
  <w:num w:numId="25">
    <w:abstractNumId w:val="19"/>
  </w:num>
  <w:num w:numId="26">
    <w:abstractNumId w:val="27"/>
  </w:num>
  <w:num w:numId="27">
    <w:abstractNumId w:val="41"/>
  </w:num>
  <w:num w:numId="28">
    <w:abstractNumId w:val="15"/>
  </w:num>
  <w:num w:numId="29">
    <w:abstractNumId w:val="23"/>
  </w:num>
  <w:num w:numId="30">
    <w:abstractNumId w:val="6"/>
  </w:num>
  <w:num w:numId="31">
    <w:abstractNumId w:val="40"/>
  </w:num>
  <w:num w:numId="32">
    <w:abstractNumId w:val="14"/>
  </w:num>
  <w:num w:numId="33">
    <w:abstractNumId w:val="24"/>
  </w:num>
  <w:num w:numId="34">
    <w:abstractNumId w:val="34"/>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num>
  <w:num w:numId="85">
    <w:abstractNumId w:val="28"/>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42"/>
    <w:rsid w:val="000019A1"/>
    <w:rsid w:val="000019CB"/>
    <w:rsid w:val="00003100"/>
    <w:rsid w:val="000055A2"/>
    <w:rsid w:val="00006832"/>
    <w:rsid w:val="00006F0D"/>
    <w:rsid w:val="0001261C"/>
    <w:rsid w:val="00012B66"/>
    <w:rsid w:val="00015718"/>
    <w:rsid w:val="000255F4"/>
    <w:rsid w:val="0002625B"/>
    <w:rsid w:val="00030788"/>
    <w:rsid w:val="00035CF6"/>
    <w:rsid w:val="00042842"/>
    <w:rsid w:val="00043508"/>
    <w:rsid w:val="00046213"/>
    <w:rsid w:val="00046B42"/>
    <w:rsid w:val="00047302"/>
    <w:rsid w:val="00047322"/>
    <w:rsid w:val="00047A37"/>
    <w:rsid w:val="000565F1"/>
    <w:rsid w:val="00061F10"/>
    <w:rsid w:val="0006793C"/>
    <w:rsid w:val="000737A4"/>
    <w:rsid w:val="00074146"/>
    <w:rsid w:val="00074A2C"/>
    <w:rsid w:val="000821C4"/>
    <w:rsid w:val="00082A40"/>
    <w:rsid w:val="00084921"/>
    <w:rsid w:val="00090545"/>
    <w:rsid w:val="00091354"/>
    <w:rsid w:val="000925AA"/>
    <w:rsid w:val="000949E8"/>
    <w:rsid w:val="0009511F"/>
    <w:rsid w:val="0009525B"/>
    <w:rsid w:val="000969AE"/>
    <w:rsid w:val="000A04BA"/>
    <w:rsid w:val="000A37D9"/>
    <w:rsid w:val="000A5E8F"/>
    <w:rsid w:val="000A7314"/>
    <w:rsid w:val="000A7AFD"/>
    <w:rsid w:val="000A7E4A"/>
    <w:rsid w:val="000B08B1"/>
    <w:rsid w:val="000B2C48"/>
    <w:rsid w:val="000B76B3"/>
    <w:rsid w:val="000C69A9"/>
    <w:rsid w:val="000D19BD"/>
    <w:rsid w:val="000D3C01"/>
    <w:rsid w:val="000D7A8A"/>
    <w:rsid w:val="000E0584"/>
    <w:rsid w:val="000E52F3"/>
    <w:rsid w:val="000F4419"/>
    <w:rsid w:val="000F4DA2"/>
    <w:rsid w:val="000F63B3"/>
    <w:rsid w:val="000F6635"/>
    <w:rsid w:val="000F67B0"/>
    <w:rsid w:val="000F6F94"/>
    <w:rsid w:val="000F727C"/>
    <w:rsid w:val="000F7DA1"/>
    <w:rsid w:val="00101E18"/>
    <w:rsid w:val="00104671"/>
    <w:rsid w:val="001235FF"/>
    <w:rsid w:val="00124F0C"/>
    <w:rsid w:val="00125226"/>
    <w:rsid w:val="00125C34"/>
    <w:rsid w:val="00125F1D"/>
    <w:rsid w:val="00130207"/>
    <w:rsid w:val="001402E1"/>
    <w:rsid w:val="00142EA8"/>
    <w:rsid w:val="001519FD"/>
    <w:rsid w:val="0015356A"/>
    <w:rsid w:val="0015380A"/>
    <w:rsid w:val="001561B2"/>
    <w:rsid w:val="001574BF"/>
    <w:rsid w:val="0016513D"/>
    <w:rsid w:val="001728D2"/>
    <w:rsid w:val="0017444E"/>
    <w:rsid w:val="001745C4"/>
    <w:rsid w:val="00176090"/>
    <w:rsid w:val="001871EB"/>
    <w:rsid w:val="00193E14"/>
    <w:rsid w:val="001A224B"/>
    <w:rsid w:val="001A2FEA"/>
    <w:rsid w:val="001A4230"/>
    <w:rsid w:val="001A6B55"/>
    <w:rsid w:val="001A77F6"/>
    <w:rsid w:val="001B18FD"/>
    <w:rsid w:val="001B5B96"/>
    <w:rsid w:val="001B6ABE"/>
    <w:rsid w:val="001C0736"/>
    <w:rsid w:val="001C1135"/>
    <w:rsid w:val="001C18EE"/>
    <w:rsid w:val="001C599E"/>
    <w:rsid w:val="001C6B89"/>
    <w:rsid w:val="001D1983"/>
    <w:rsid w:val="001D7083"/>
    <w:rsid w:val="001D7494"/>
    <w:rsid w:val="001E73E3"/>
    <w:rsid w:val="001F0067"/>
    <w:rsid w:val="001F352C"/>
    <w:rsid w:val="001F5BFF"/>
    <w:rsid w:val="00204AFA"/>
    <w:rsid w:val="00206A5A"/>
    <w:rsid w:val="00215670"/>
    <w:rsid w:val="0021650F"/>
    <w:rsid w:val="00217FC6"/>
    <w:rsid w:val="00220B22"/>
    <w:rsid w:val="0022578B"/>
    <w:rsid w:val="002272AE"/>
    <w:rsid w:val="002321BE"/>
    <w:rsid w:val="002349B0"/>
    <w:rsid w:val="00234D59"/>
    <w:rsid w:val="00235049"/>
    <w:rsid w:val="00237476"/>
    <w:rsid w:val="00240E2A"/>
    <w:rsid w:val="00241BCA"/>
    <w:rsid w:val="00245093"/>
    <w:rsid w:val="0025017E"/>
    <w:rsid w:val="002639CC"/>
    <w:rsid w:val="00267868"/>
    <w:rsid w:val="002679FE"/>
    <w:rsid w:val="00273B7B"/>
    <w:rsid w:val="002766F0"/>
    <w:rsid w:val="002853F1"/>
    <w:rsid w:val="00286732"/>
    <w:rsid w:val="0028696A"/>
    <w:rsid w:val="002929EC"/>
    <w:rsid w:val="002953AA"/>
    <w:rsid w:val="00297CD3"/>
    <w:rsid w:val="002B1BAF"/>
    <w:rsid w:val="002B38A9"/>
    <w:rsid w:val="002B6C58"/>
    <w:rsid w:val="002C0E55"/>
    <w:rsid w:val="002C3E9D"/>
    <w:rsid w:val="002D110D"/>
    <w:rsid w:val="002D1E06"/>
    <w:rsid w:val="002D4803"/>
    <w:rsid w:val="002E201B"/>
    <w:rsid w:val="002E3668"/>
    <w:rsid w:val="002E6F13"/>
    <w:rsid w:val="002F74CF"/>
    <w:rsid w:val="00304F9E"/>
    <w:rsid w:val="0031383B"/>
    <w:rsid w:val="00314FE5"/>
    <w:rsid w:val="00315557"/>
    <w:rsid w:val="003171E4"/>
    <w:rsid w:val="00320906"/>
    <w:rsid w:val="00322EB8"/>
    <w:rsid w:val="00327405"/>
    <w:rsid w:val="00331FEF"/>
    <w:rsid w:val="00333D65"/>
    <w:rsid w:val="0033491E"/>
    <w:rsid w:val="003350DB"/>
    <w:rsid w:val="0033764E"/>
    <w:rsid w:val="0034338A"/>
    <w:rsid w:val="0034521C"/>
    <w:rsid w:val="00351678"/>
    <w:rsid w:val="00352E3C"/>
    <w:rsid w:val="00354146"/>
    <w:rsid w:val="00360816"/>
    <w:rsid w:val="00362F62"/>
    <w:rsid w:val="003663C6"/>
    <w:rsid w:val="003729C7"/>
    <w:rsid w:val="00372D05"/>
    <w:rsid w:val="0037616D"/>
    <w:rsid w:val="003762CC"/>
    <w:rsid w:val="00380454"/>
    <w:rsid w:val="0038311C"/>
    <w:rsid w:val="00390585"/>
    <w:rsid w:val="00393D7A"/>
    <w:rsid w:val="00394FDE"/>
    <w:rsid w:val="003A3804"/>
    <w:rsid w:val="003A4CFA"/>
    <w:rsid w:val="003A6130"/>
    <w:rsid w:val="003B3222"/>
    <w:rsid w:val="003B364F"/>
    <w:rsid w:val="003B443B"/>
    <w:rsid w:val="003B49DD"/>
    <w:rsid w:val="003B711F"/>
    <w:rsid w:val="003B77F3"/>
    <w:rsid w:val="003B7F7E"/>
    <w:rsid w:val="003D0078"/>
    <w:rsid w:val="003D261C"/>
    <w:rsid w:val="003D5F64"/>
    <w:rsid w:val="003D7E76"/>
    <w:rsid w:val="003E23F0"/>
    <w:rsid w:val="003E581A"/>
    <w:rsid w:val="003E6815"/>
    <w:rsid w:val="003E6B8F"/>
    <w:rsid w:val="003F2474"/>
    <w:rsid w:val="003F6882"/>
    <w:rsid w:val="003F6A74"/>
    <w:rsid w:val="004013C2"/>
    <w:rsid w:val="00403D1D"/>
    <w:rsid w:val="0040532F"/>
    <w:rsid w:val="00406C93"/>
    <w:rsid w:val="00414C0B"/>
    <w:rsid w:val="00416B77"/>
    <w:rsid w:val="00420F7C"/>
    <w:rsid w:val="00425A1A"/>
    <w:rsid w:val="00432B33"/>
    <w:rsid w:val="00436F4F"/>
    <w:rsid w:val="004374E5"/>
    <w:rsid w:val="00442004"/>
    <w:rsid w:val="00442954"/>
    <w:rsid w:val="0044319E"/>
    <w:rsid w:val="0045333E"/>
    <w:rsid w:val="00454495"/>
    <w:rsid w:val="004605F5"/>
    <w:rsid w:val="00464219"/>
    <w:rsid w:val="0047088A"/>
    <w:rsid w:val="00481F14"/>
    <w:rsid w:val="004839E4"/>
    <w:rsid w:val="00486AA6"/>
    <w:rsid w:val="00487FE2"/>
    <w:rsid w:val="00491338"/>
    <w:rsid w:val="00491E9A"/>
    <w:rsid w:val="004943A1"/>
    <w:rsid w:val="00494CC4"/>
    <w:rsid w:val="004A1F61"/>
    <w:rsid w:val="004A376C"/>
    <w:rsid w:val="004A3F39"/>
    <w:rsid w:val="004A4C93"/>
    <w:rsid w:val="004B6A6F"/>
    <w:rsid w:val="004B77A3"/>
    <w:rsid w:val="004C5890"/>
    <w:rsid w:val="004C5C79"/>
    <w:rsid w:val="004C6C05"/>
    <w:rsid w:val="004D59AB"/>
    <w:rsid w:val="004D6CB6"/>
    <w:rsid w:val="004E1441"/>
    <w:rsid w:val="004E5C5F"/>
    <w:rsid w:val="004E64CB"/>
    <w:rsid w:val="004E7CE2"/>
    <w:rsid w:val="004F3FB2"/>
    <w:rsid w:val="004F48E7"/>
    <w:rsid w:val="004F5187"/>
    <w:rsid w:val="00501350"/>
    <w:rsid w:val="005021BE"/>
    <w:rsid w:val="0050270E"/>
    <w:rsid w:val="0050332E"/>
    <w:rsid w:val="00520DF8"/>
    <w:rsid w:val="0052110F"/>
    <w:rsid w:val="00522211"/>
    <w:rsid w:val="005256BF"/>
    <w:rsid w:val="0053231F"/>
    <w:rsid w:val="00532ECC"/>
    <w:rsid w:val="00537540"/>
    <w:rsid w:val="0054168E"/>
    <w:rsid w:val="00542102"/>
    <w:rsid w:val="005430DD"/>
    <w:rsid w:val="00550DBC"/>
    <w:rsid w:val="00552CB8"/>
    <w:rsid w:val="00553359"/>
    <w:rsid w:val="0055347D"/>
    <w:rsid w:val="005541F4"/>
    <w:rsid w:val="00555BAF"/>
    <w:rsid w:val="005606AC"/>
    <w:rsid w:val="00563FCF"/>
    <w:rsid w:val="00566F38"/>
    <w:rsid w:val="00572065"/>
    <w:rsid w:val="00575B65"/>
    <w:rsid w:val="00580296"/>
    <w:rsid w:val="0058755D"/>
    <w:rsid w:val="00587AE0"/>
    <w:rsid w:val="00596E94"/>
    <w:rsid w:val="005A0607"/>
    <w:rsid w:val="005A35AC"/>
    <w:rsid w:val="005A480F"/>
    <w:rsid w:val="005B025B"/>
    <w:rsid w:val="005B08C2"/>
    <w:rsid w:val="005B5531"/>
    <w:rsid w:val="005B68B9"/>
    <w:rsid w:val="005B786A"/>
    <w:rsid w:val="005B7E10"/>
    <w:rsid w:val="005C018F"/>
    <w:rsid w:val="005D146A"/>
    <w:rsid w:val="005D228F"/>
    <w:rsid w:val="005D4A1B"/>
    <w:rsid w:val="005D4BE5"/>
    <w:rsid w:val="005D5736"/>
    <w:rsid w:val="005D6961"/>
    <w:rsid w:val="005D6DA5"/>
    <w:rsid w:val="005D6F6F"/>
    <w:rsid w:val="005D7E3C"/>
    <w:rsid w:val="005E747F"/>
    <w:rsid w:val="005F6BDB"/>
    <w:rsid w:val="005F7958"/>
    <w:rsid w:val="00600AE6"/>
    <w:rsid w:val="00603220"/>
    <w:rsid w:val="006054BD"/>
    <w:rsid w:val="00613A9D"/>
    <w:rsid w:val="00616EF2"/>
    <w:rsid w:val="006238BB"/>
    <w:rsid w:val="00627C43"/>
    <w:rsid w:val="00630089"/>
    <w:rsid w:val="0063116C"/>
    <w:rsid w:val="00631268"/>
    <w:rsid w:val="006332DB"/>
    <w:rsid w:val="00635E24"/>
    <w:rsid w:val="0063759C"/>
    <w:rsid w:val="00646ACE"/>
    <w:rsid w:val="00647ACD"/>
    <w:rsid w:val="00650B64"/>
    <w:rsid w:val="00652B8A"/>
    <w:rsid w:val="006533F6"/>
    <w:rsid w:val="006551A6"/>
    <w:rsid w:val="00656AB0"/>
    <w:rsid w:val="00657022"/>
    <w:rsid w:val="006837A7"/>
    <w:rsid w:val="00684AE0"/>
    <w:rsid w:val="00685B3E"/>
    <w:rsid w:val="00693E5C"/>
    <w:rsid w:val="00695EC2"/>
    <w:rsid w:val="00697ED5"/>
    <w:rsid w:val="006A0129"/>
    <w:rsid w:val="006A2E35"/>
    <w:rsid w:val="006B4A2D"/>
    <w:rsid w:val="006B54CC"/>
    <w:rsid w:val="006C5A5B"/>
    <w:rsid w:val="006D3681"/>
    <w:rsid w:val="006F0182"/>
    <w:rsid w:val="006F019E"/>
    <w:rsid w:val="006F373B"/>
    <w:rsid w:val="006F5CF1"/>
    <w:rsid w:val="006F6A97"/>
    <w:rsid w:val="00700349"/>
    <w:rsid w:val="00700641"/>
    <w:rsid w:val="0070335B"/>
    <w:rsid w:val="00704CD3"/>
    <w:rsid w:val="00704FC6"/>
    <w:rsid w:val="007056A4"/>
    <w:rsid w:val="00711C14"/>
    <w:rsid w:val="00716A89"/>
    <w:rsid w:val="00717A6B"/>
    <w:rsid w:val="007230F1"/>
    <w:rsid w:val="00723774"/>
    <w:rsid w:val="00726014"/>
    <w:rsid w:val="007267E0"/>
    <w:rsid w:val="00726C74"/>
    <w:rsid w:val="00734495"/>
    <w:rsid w:val="00735094"/>
    <w:rsid w:val="00737262"/>
    <w:rsid w:val="00737DD6"/>
    <w:rsid w:val="00741CEA"/>
    <w:rsid w:val="00742CC6"/>
    <w:rsid w:val="0074364A"/>
    <w:rsid w:val="00745A56"/>
    <w:rsid w:val="0074702F"/>
    <w:rsid w:val="007707B1"/>
    <w:rsid w:val="00772020"/>
    <w:rsid w:val="007758B6"/>
    <w:rsid w:val="007774C0"/>
    <w:rsid w:val="00783C9F"/>
    <w:rsid w:val="00790744"/>
    <w:rsid w:val="00791CA5"/>
    <w:rsid w:val="007941A1"/>
    <w:rsid w:val="007B623F"/>
    <w:rsid w:val="007B68F5"/>
    <w:rsid w:val="007B6C1F"/>
    <w:rsid w:val="007C101E"/>
    <w:rsid w:val="007C5597"/>
    <w:rsid w:val="007C5871"/>
    <w:rsid w:val="007C6447"/>
    <w:rsid w:val="007C7EBA"/>
    <w:rsid w:val="007D2E08"/>
    <w:rsid w:val="007D5A1B"/>
    <w:rsid w:val="007E30C7"/>
    <w:rsid w:val="007E3DE2"/>
    <w:rsid w:val="007E5A9C"/>
    <w:rsid w:val="007E723A"/>
    <w:rsid w:val="007F39E0"/>
    <w:rsid w:val="00802727"/>
    <w:rsid w:val="008048D8"/>
    <w:rsid w:val="00807373"/>
    <w:rsid w:val="008104BE"/>
    <w:rsid w:val="00812077"/>
    <w:rsid w:val="008200B5"/>
    <w:rsid w:val="008232EB"/>
    <w:rsid w:val="00825C3F"/>
    <w:rsid w:val="00827E59"/>
    <w:rsid w:val="0083213A"/>
    <w:rsid w:val="008373BB"/>
    <w:rsid w:val="0084078F"/>
    <w:rsid w:val="008408E4"/>
    <w:rsid w:val="008424D3"/>
    <w:rsid w:val="00844DDD"/>
    <w:rsid w:val="00844DFE"/>
    <w:rsid w:val="008454A9"/>
    <w:rsid w:val="0084584A"/>
    <w:rsid w:val="00845FD1"/>
    <w:rsid w:val="00851F9C"/>
    <w:rsid w:val="00852215"/>
    <w:rsid w:val="0085353C"/>
    <w:rsid w:val="00855D2E"/>
    <w:rsid w:val="00860E16"/>
    <w:rsid w:val="00862B45"/>
    <w:rsid w:val="0086353E"/>
    <w:rsid w:val="00863FAF"/>
    <w:rsid w:val="00864390"/>
    <w:rsid w:val="008700BA"/>
    <w:rsid w:val="00870B83"/>
    <w:rsid w:val="00872A70"/>
    <w:rsid w:val="00873693"/>
    <w:rsid w:val="00874840"/>
    <w:rsid w:val="00882950"/>
    <w:rsid w:val="00882AE4"/>
    <w:rsid w:val="0088434F"/>
    <w:rsid w:val="00884ED3"/>
    <w:rsid w:val="00891167"/>
    <w:rsid w:val="008922D6"/>
    <w:rsid w:val="0089245F"/>
    <w:rsid w:val="008A5422"/>
    <w:rsid w:val="008A5C66"/>
    <w:rsid w:val="008C32B0"/>
    <w:rsid w:val="008D20A3"/>
    <w:rsid w:val="008D392E"/>
    <w:rsid w:val="008D64B9"/>
    <w:rsid w:val="008E4F25"/>
    <w:rsid w:val="008E703C"/>
    <w:rsid w:val="008F3450"/>
    <w:rsid w:val="008F4F38"/>
    <w:rsid w:val="00900107"/>
    <w:rsid w:val="0090164E"/>
    <w:rsid w:val="00902410"/>
    <w:rsid w:val="00903248"/>
    <w:rsid w:val="009079CE"/>
    <w:rsid w:val="00911330"/>
    <w:rsid w:val="0091356B"/>
    <w:rsid w:val="00913DD2"/>
    <w:rsid w:val="00921F1E"/>
    <w:rsid w:val="00922111"/>
    <w:rsid w:val="009232BB"/>
    <w:rsid w:val="00925950"/>
    <w:rsid w:val="0093116E"/>
    <w:rsid w:val="00931214"/>
    <w:rsid w:val="0093283C"/>
    <w:rsid w:val="00932EA3"/>
    <w:rsid w:val="00934744"/>
    <w:rsid w:val="009360D3"/>
    <w:rsid w:val="00940C49"/>
    <w:rsid w:val="0094408E"/>
    <w:rsid w:val="00950E6B"/>
    <w:rsid w:val="0095261E"/>
    <w:rsid w:val="00952BAD"/>
    <w:rsid w:val="0095559F"/>
    <w:rsid w:val="009566F2"/>
    <w:rsid w:val="00965C57"/>
    <w:rsid w:val="00966C1C"/>
    <w:rsid w:val="00967DD8"/>
    <w:rsid w:val="009718DC"/>
    <w:rsid w:val="00972CE8"/>
    <w:rsid w:val="00975BEB"/>
    <w:rsid w:val="00976918"/>
    <w:rsid w:val="00982D0B"/>
    <w:rsid w:val="0098300A"/>
    <w:rsid w:val="0098376E"/>
    <w:rsid w:val="00992397"/>
    <w:rsid w:val="009A3CC6"/>
    <w:rsid w:val="009A4B3D"/>
    <w:rsid w:val="009B7FE2"/>
    <w:rsid w:val="009C26AD"/>
    <w:rsid w:val="009C2795"/>
    <w:rsid w:val="009C4C8B"/>
    <w:rsid w:val="009C5162"/>
    <w:rsid w:val="009C77A5"/>
    <w:rsid w:val="009D3DFE"/>
    <w:rsid w:val="009D428F"/>
    <w:rsid w:val="009D5A42"/>
    <w:rsid w:val="009E1968"/>
    <w:rsid w:val="009E2A36"/>
    <w:rsid w:val="009E43FF"/>
    <w:rsid w:val="009E7B8B"/>
    <w:rsid w:val="009E7E76"/>
    <w:rsid w:val="009F0B51"/>
    <w:rsid w:val="009F0D04"/>
    <w:rsid w:val="009F1D3D"/>
    <w:rsid w:val="009F216D"/>
    <w:rsid w:val="009F2171"/>
    <w:rsid w:val="009F37CA"/>
    <w:rsid w:val="009F3E14"/>
    <w:rsid w:val="00A00542"/>
    <w:rsid w:val="00A014BB"/>
    <w:rsid w:val="00A029F8"/>
    <w:rsid w:val="00A04191"/>
    <w:rsid w:val="00A044FA"/>
    <w:rsid w:val="00A068CC"/>
    <w:rsid w:val="00A06EBE"/>
    <w:rsid w:val="00A1257C"/>
    <w:rsid w:val="00A1598A"/>
    <w:rsid w:val="00A22FDE"/>
    <w:rsid w:val="00A251F3"/>
    <w:rsid w:val="00A3467C"/>
    <w:rsid w:val="00A35837"/>
    <w:rsid w:val="00A35ED1"/>
    <w:rsid w:val="00A366E8"/>
    <w:rsid w:val="00A4189A"/>
    <w:rsid w:val="00A442CC"/>
    <w:rsid w:val="00A44701"/>
    <w:rsid w:val="00A46675"/>
    <w:rsid w:val="00A46D7C"/>
    <w:rsid w:val="00A51CFA"/>
    <w:rsid w:val="00A55E95"/>
    <w:rsid w:val="00A56DBE"/>
    <w:rsid w:val="00A670D0"/>
    <w:rsid w:val="00A679EA"/>
    <w:rsid w:val="00A716DE"/>
    <w:rsid w:val="00A76F6A"/>
    <w:rsid w:val="00A77804"/>
    <w:rsid w:val="00A8147B"/>
    <w:rsid w:val="00A8216B"/>
    <w:rsid w:val="00A855F8"/>
    <w:rsid w:val="00A87783"/>
    <w:rsid w:val="00A96BE7"/>
    <w:rsid w:val="00A979D9"/>
    <w:rsid w:val="00AA226C"/>
    <w:rsid w:val="00AA2E30"/>
    <w:rsid w:val="00AA3DAE"/>
    <w:rsid w:val="00AB06EB"/>
    <w:rsid w:val="00AB3A70"/>
    <w:rsid w:val="00AB531B"/>
    <w:rsid w:val="00AB7E8E"/>
    <w:rsid w:val="00AC177F"/>
    <w:rsid w:val="00AC5113"/>
    <w:rsid w:val="00AC5BEF"/>
    <w:rsid w:val="00AD385C"/>
    <w:rsid w:val="00AD3E4E"/>
    <w:rsid w:val="00AD5DE5"/>
    <w:rsid w:val="00AE1557"/>
    <w:rsid w:val="00AE2FFB"/>
    <w:rsid w:val="00AE613E"/>
    <w:rsid w:val="00AF2C16"/>
    <w:rsid w:val="00AF3031"/>
    <w:rsid w:val="00AF4624"/>
    <w:rsid w:val="00B0071D"/>
    <w:rsid w:val="00B02A1E"/>
    <w:rsid w:val="00B03FD3"/>
    <w:rsid w:val="00B051E4"/>
    <w:rsid w:val="00B10A85"/>
    <w:rsid w:val="00B11E80"/>
    <w:rsid w:val="00B172BA"/>
    <w:rsid w:val="00B17574"/>
    <w:rsid w:val="00B20A60"/>
    <w:rsid w:val="00B21BF9"/>
    <w:rsid w:val="00B22048"/>
    <w:rsid w:val="00B25F8B"/>
    <w:rsid w:val="00B2685B"/>
    <w:rsid w:val="00B27D79"/>
    <w:rsid w:val="00B302C5"/>
    <w:rsid w:val="00B30860"/>
    <w:rsid w:val="00B30F1B"/>
    <w:rsid w:val="00B40717"/>
    <w:rsid w:val="00B40F5C"/>
    <w:rsid w:val="00B51C45"/>
    <w:rsid w:val="00B53DE8"/>
    <w:rsid w:val="00B5478B"/>
    <w:rsid w:val="00B60EE0"/>
    <w:rsid w:val="00B61758"/>
    <w:rsid w:val="00B84191"/>
    <w:rsid w:val="00B85A72"/>
    <w:rsid w:val="00B86586"/>
    <w:rsid w:val="00B97BAB"/>
    <w:rsid w:val="00BA42C1"/>
    <w:rsid w:val="00BA4C5C"/>
    <w:rsid w:val="00BA638B"/>
    <w:rsid w:val="00BA6A06"/>
    <w:rsid w:val="00BA79A1"/>
    <w:rsid w:val="00BB02EE"/>
    <w:rsid w:val="00BB2C9C"/>
    <w:rsid w:val="00BB4E2F"/>
    <w:rsid w:val="00BB51D8"/>
    <w:rsid w:val="00BB58B5"/>
    <w:rsid w:val="00BB686D"/>
    <w:rsid w:val="00BC1168"/>
    <w:rsid w:val="00BC7E32"/>
    <w:rsid w:val="00BD0986"/>
    <w:rsid w:val="00BD1171"/>
    <w:rsid w:val="00BE3B95"/>
    <w:rsid w:val="00BE413F"/>
    <w:rsid w:val="00BE5C7A"/>
    <w:rsid w:val="00BE69ED"/>
    <w:rsid w:val="00BF207D"/>
    <w:rsid w:val="00BF4CAF"/>
    <w:rsid w:val="00BF4E94"/>
    <w:rsid w:val="00BF56BB"/>
    <w:rsid w:val="00BF620B"/>
    <w:rsid w:val="00C00C8F"/>
    <w:rsid w:val="00C01EEB"/>
    <w:rsid w:val="00C02283"/>
    <w:rsid w:val="00C02A74"/>
    <w:rsid w:val="00C03EE9"/>
    <w:rsid w:val="00C0699D"/>
    <w:rsid w:val="00C06C0E"/>
    <w:rsid w:val="00C20602"/>
    <w:rsid w:val="00C20C8C"/>
    <w:rsid w:val="00C23024"/>
    <w:rsid w:val="00C23F5B"/>
    <w:rsid w:val="00C25C78"/>
    <w:rsid w:val="00C2622D"/>
    <w:rsid w:val="00C27ADD"/>
    <w:rsid w:val="00C37DF9"/>
    <w:rsid w:val="00C41364"/>
    <w:rsid w:val="00C416AA"/>
    <w:rsid w:val="00C50BEE"/>
    <w:rsid w:val="00C53842"/>
    <w:rsid w:val="00C60118"/>
    <w:rsid w:val="00C61117"/>
    <w:rsid w:val="00C625E1"/>
    <w:rsid w:val="00C64551"/>
    <w:rsid w:val="00C65F80"/>
    <w:rsid w:val="00C67FA2"/>
    <w:rsid w:val="00C73BBA"/>
    <w:rsid w:val="00C81880"/>
    <w:rsid w:val="00C81DA2"/>
    <w:rsid w:val="00C820B1"/>
    <w:rsid w:val="00C824F7"/>
    <w:rsid w:val="00C82ABA"/>
    <w:rsid w:val="00C8566B"/>
    <w:rsid w:val="00C8655F"/>
    <w:rsid w:val="00C873BC"/>
    <w:rsid w:val="00C90DF9"/>
    <w:rsid w:val="00C946E8"/>
    <w:rsid w:val="00C9523E"/>
    <w:rsid w:val="00C95D01"/>
    <w:rsid w:val="00CA2B65"/>
    <w:rsid w:val="00CA572F"/>
    <w:rsid w:val="00CB2CAE"/>
    <w:rsid w:val="00CB3C43"/>
    <w:rsid w:val="00CB4211"/>
    <w:rsid w:val="00CB7603"/>
    <w:rsid w:val="00CC16A0"/>
    <w:rsid w:val="00CC2D31"/>
    <w:rsid w:val="00CC3620"/>
    <w:rsid w:val="00CD0E2C"/>
    <w:rsid w:val="00CD164A"/>
    <w:rsid w:val="00CD4B64"/>
    <w:rsid w:val="00CD5D7E"/>
    <w:rsid w:val="00CE546E"/>
    <w:rsid w:val="00CE686F"/>
    <w:rsid w:val="00CF15AC"/>
    <w:rsid w:val="00CF3C10"/>
    <w:rsid w:val="00CF417E"/>
    <w:rsid w:val="00CF4B72"/>
    <w:rsid w:val="00CF658D"/>
    <w:rsid w:val="00CF735D"/>
    <w:rsid w:val="00D01115"/>
    <w:rsid w:val="00D01E77"/>
    <w:rsid w:val="00D03491"/>
    <w:rsid w:val="00D07227"/>
    <w:rsid w:val="00D072F0"/>
    <w:rsid w:val="00D07424"/>
    <w:rsid w:val="00D07D05"/>
    <w:rsid w:val="00D1040B"/>
    <w:rsid w:val="00D1075D"/>
    <w:rsid w:val="00D143DD"/>
    <w:rsid w:val="00D24569"/>
    <w:rsid w:val="00D2553D"/>
    <w:rsid w:val="00D27015"/>
    <w:rsid w:val="00D330D7"/>
    <w:rsid w:val="00D34355"/>
    <w:rsid w:val="00D43A8B"/>
    <w:rsid w:val="00D44A04"/>
    <w:rsid w:val="00D465FF"/>
    <w:rsid w:val="00D47C09"/>
    <w:rsid w:val="00D50E4E"/>
    <w:rsid w:val="00D5194F"/>
    <w:rsid w:val="00D62E5A"/>
    <w:rsid w:val="00D63AF0"/>
    <w:rsid w:val="00D70BF9"/>
    <w:rsid w:val="00D72931"/>
    <w:rsid w:val="00D76ED9"/>
    <w:rsid w:val="00D801F8"/>
    <w:rsid w:val="00D814E6"/>
    <w:rsid w:val="00D81741"/>
    <w:rsid w:val="00D9444B"/>
    <w:rsid w:val="00D94A1C"/>
    <w:rsid w:val="00DA69CF"/>
    <w:rsid w:val="00DB1ABD"/>
    <w:rsid w:val="00DB3EAE"/>
    <w:rsid w:val="00DC3CFA"/>
    <w:rsid w:val="00DD2583"/>
    <w:rsid w:val="00DD30AE"/>
    <w:rsid w:val="00DD318F"/>
    <w:rsid w:val="00DD3496"/>
    <w:rsid w:val="00DD7504"/>
    <w:rsid w:val="00DD7B42"/>
    <w:rsid w:val="00DE2F22"/>
    <w:rsid w:val="00DE3874"/>
    <w:rsid w:val="00DF4885"/>
    <w:rsid w:val="00DF766D"/>
    <w:rsid w:val="00E003C6"/>
    <w:rsid w:val="00E01B74"/>
    <w:rsid w:val="00E02697"/>
    <w:rsid w:val="00E0530B"/>
    <w:rsid w:val="00E151C9"/>
    <w:rsid w:val="00E20CB0"/>
    <w:rsid w:val="00E24CAF"/>
    <w:rsid w:val="00E26D33"/>
    <w:rsid w:val="00E27910"/>
    <w:rsid w:val="00E27922"/>
    <w:rsid w:val="00E27A42"/>
    <w:rsid w:val="00E311B9"/>
    <w:rsid w:val="00E42816"/>
    <w:rsid w:val="00E44CB2"/>
    <w:rsid w:val="00E46476"/>
    <w:rsid w:val="00E5246E"/>
    <w:rsid w:val="00E543B1"/>
    <w:rsid w:val="00E636F0"/>
    <w:rsid w:val="00E66699"/>
    <w:rsid w:val="00E747FD"/>
    <w:rsid w:val="00E752D1"/>
    <w:rsid w:val="00E77137"/>
    <w:rsid w:val="00E77FE2"/>
    <w:rsid w:val="00E912F7"/>
    <w:rsid w:val="00E91BA7"/>
    <w:rsid w:val="00E91D37"/>
    <w:rsid w:val="00E91DE1"/>
    <w:rsid w:val="00E91F20"/>
    <w:rsid w:val="00E93521"/>
    <w:rsid w:val="00E94D02"/>
    <w:rsid w:val="00E9590C"/>
    <w:rsid w:val="00E961F4"/>
    <w:rsid w:val="00EA1892"/>
    <w:rsid w:val="00EA1E78"/>
    <w:rsid w:val="00EA2098"/>
    <w:rsid w:val="00EA4D77"/>
    <w:rsid w:val="00EA4E34"/>
    <w:rsid w:val="00EA5B79"/>
    <w:rsid w:val="00EA6844"/>
    <w:rsid w:val="00EB213B"/>
    <w:rsid w:val="00EB6D06"/>
    <w:rsid w:val="00EB6FE4"/>
    <w:rsid w:val="00EC430F"/>
    <w:rsid w:val="00EC74EE"/>
    <w:rsid w:val="00ED6A19"/>
    <w:rsid w:val="00EF15FF"/>
    <w:rsid w:val="00EF51EA"/>
    <w:rsid w:val="00F055C3"/>
    <w:rsid w:val="00F12D4F"/>
    <w:rsid w:val="00F14009"/>
    <w:rsid w:val="00F141F7"/>
    <w:rsid w:val="00F162DC"/>
    <w:rsid w:val="00F1711D"/>
    <w:rsid w:val="00F244AF"/>
    <w:rsid w:val="00F277AD"/>
    <w:rsid w:val="00F358FC"/>
    <w:rsid w:val="00F367A5"/>
    <w:rsid w:val="00F526BF"/>
    <w:rsid w:val="00F53344"/>
    <w:rsid w:val="00F55C46"/>
    <w:rsid w:val="00F568AA"/>
    <w:rsid w:val="00F60DA8"/>
    <w:rsid w:val="00F66FC5"/>
    <w:rsid w:val="00F813A8"/>
    <w:rsid w:val="00F827A1"/>
    <w:rsid w:val="00F84B9E"/>
    <w:rsid w:val="00F900A5"/>
    <w:rsid w:val="00F94BDF"/>
    <w:rsid w:val="00F978FB"/>
    <w:rsid w:val="00FA11C8"/>
    <w:rsid w:val="00FA283E"/>
    <w:rsid w:val="00FB20E9"/>
    <w:rsid w:val="00FB38FC"/>
    <w:rsid w:val="00FB41B8"/>
    <w:rsid w:val="00FB64F1"/>
    <w:rsid w:val="00FC2028"/>
    <w:rsid w:val="00FC6030"/>
    <w:rsid w:val="00FC6032"/>
    <w:rsid w:val="00FC6372"/>
    <w:rsid w:val="00FC6A08"/>
    <w:rsid w:val="00FD2EB1"/>
    <w:rsid w:val="00FD462F"/>
    <w:rsid w:val="00FE30DE"/>
    <w:rsid w:val="00FE38CE"/>
    <w:rsid w:val="00FF4801"/>
    <w:rsid w:val="00FF57B5"/>
    <w:rsid w:val="00FF646E"/>
    <w:rsid w:val="00FF7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1A02"/>
  <w15:docId w15:val="{90A5BBEF-F8AA-4144-9D52-92DDB16E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42"/>
    <w:rPr>
      <w:rFonts w:ascii="Arial" w:eastAsia="Times New Roman" w:hAnsi="Arial" w:cs="Times New Roman"/>
      <w:sz w:val="24"/>
      <w:szCs w:val="24"/>
      <w:lang w:val="en-US"/>
    </w:rPr>
  </w:style>
  <w:style w:type="paragraph" w:styleId="Heading2">
    <w:name w:val="heading 2"/>
    <w:basedOn w:val="Normal"/>
    <w:link w:val="Heading2Char"/>
    <w:uiPriority w:val="9"/>
    <w:qFormat/>
    <w:rsid w:val="00B97BAB"/>
    <w:pPr>
      <w:spacing w:before="100" w:beforeAutospacing="1" w:after="100" w:afterAutospacing="1"/>
      <w:outlineLvl w:val="1"/>
    </w:pPr>
    <w:rPr>
      <w:rFonts w:ascii="Times New Roman" w:hAnsi="Times New Roman"/>
      <w:b/>
      <w:bCs/>
      <w:sz w:val="36"/>
      <w:szCs w:val="36"/>
      <w:lang w:val="en-CA" w:eastAsia="en-CA"/>
    </w:rPr>
  </w:style>
  <w:style w:type="paragraph" w:styleId="Heading3">
    <w:name w:val="heading 3"/>
    <w:basedOn w:val="Normal"/>
    <w:link w:val="Heading3Char"/>
    <w:uiPriority w:val="9"/>
    <w:qFormat/>
    <w:rsid w:val="00B97BAB"/>
    <w:pPr>
      <w:spacing w:before="100" w:beforeAutospacing="1" w:after="100" w:afterAutospacing="1"/>
      <w:outlineLvl w:val="2"/>
    </w:pPr>
    <w:rPr>
      <w:rFonts w:ascii="Times New Roman" w:hAnsi="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42842"/>
    <w:rPr>
      <w:sz w:val="20"/>
      <w:szCs w:val="20"/>
    </w:rPr>
  </w:style>
  <w:style w:type="character" w:customStyle="1" w:styleId="FootnoteTextChar">
    <w:name w:val="Footnote Text Char"/>
    <w:basedOn w:val="DefaultParagraphFont"/>
    <w:link w:val="FootnoteText"/>
    <w:semiHidden/>
    <w:rsid w:val="00042842"/>
    <w:rPr>
      <w:rFonts w:ascii="Arial" w:eastAsia="Times New Roman" w:hAnsi="Arial" w:cs="Times New Roman"/>
      <w:sz w:val="20"/>
      <w:szCs w:val="20"/>
      <w:lang w:val="en-US"/>
    </w:rPr>
  </w:style>
  <w:style w:type="character" w:styleId="FootnoteReference">
    <w:name w:val="footnote reference"/>
    <w:basedOn w:val="DefaultParagraphFont"/>
    <w:semiHidden/>
    <w:rsid w:val="00042842"/>
    <w:rPr>
      <w:vertAlign w:val="superscript"/>
    </w:rPr>
  </w:style>
  <w:style w:type="character" w:styleId="Hyperlink">
    <w:name w:val="Hyperlink"/>
    <w:basedOn w:val="DefaultParagraphFont"/>
    <w:semiHidden/>
    <w:rsid w:val="00042842"/>
    <w:rPr>
      <w:color w:val="0000FF"/>
      <w:u w:val="single"/>
    </w:rPr>
  </w:style>
  <w:style w:type="paragraph" w:styleId="ListParagraph">
    <w:name w:val="List Paragraph"/>
    <w:basedOn w:val="Normal"/>
    <w:uiPriority w:val="34"/>
    <w:qFormat/>
    <w:rsid w:val="000D3C01"/>
    <w:pPr>
      <w:ind w:left="720"/>
    </w:pPr>
  </w:style>
  <w:style w:type="character" w:styleId="CommentReference">
    <w:name w:val="annotation reference"/>
    <w:basedOn w:val="DefaultParagraphFont"/>
    <w:uiPriority w:val="99"/>
    <w:semiHidden/>
    <w:unhideWhenUsed/>
    <w:rsid w:val="00697ED5"/>
    <w:rPr>
      <w:sz w:val="16"/>
      <w:szCs w:val="16"/>
    </w:rPr>
  </w:style>
  <w:style w:type="paragraph" w:styleId="CommentText">
    <w:name w:val="annotation text"/>
    <w:basedOn w:val="Normal"/>
    <w:link w:val="CommentTextChar"/>
    <w:uiPriority w:val="99"/>
    <w:unhideWhenUsed/>
    <w:rsid w:val="00697ED5"/>
    <w:pPr>
      <w:spacing w:after="200"/>
    </w:pPr>
    <w:rPr>
      <w:rFonts w:eastAsiaTheme="minorEastAsia" w:cstheme="minorBidi"/>
      <w:sz w:val="20"/>
      <w:szCs w:val="20"/>
      <w:lang w:val="fr-CA"/>
    </w:rPr>
  </w:style>
  <w:style w:type="character" w:customStyle="1" w:styleId="CommentTextChar">
    <w:name w:val="Comment Text Char"/>
    <w:basedOn w:val="DefaultParagraphFont"/>
    <w:link w:val="CommentText"/>
    <w:uiPriority w:val="99"/>
    <w:rsid w:val="00697ED5"/>
    <w:rPr>
      <w:rFonts w:ascii="Arial" w:eastAsiaTheme="minorEastAsia" w:hAnsi="Arial"/>
      <w:sz w:val="20"/>
      <w:szCs w:val="20"/>
      <w:lang w:val="fr-CA"/>
    </w:rPr>
  </w:style>
  <w:style w:type="paragraph" w:styleId="BalloonText">
    <w:name w:val="Balloon Text"/>
    <w:basedOn w:val="Normal"/>
    <w:link w:val="BalloonTextChar"/>
    <w:uiPriority w:val="99"/>
    <w:semiHidden/>
    <w:unhideWhenUsed/>
    <w:rsid w:val="0069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ED5"/>
    <w:rPr>
      <w:rFonts w:ascii="Segoe UI" w:eastAsia="Times New Roman" w:hAnsi="Segoe UI" w:cs="Segoe UI"/>
      <w:sz w:val="18"/>
      <w:szCs w:val="18"/>
      <w:lang w:val="en-US"/>
    </w:rPr>
  </w:style>
  <w:style w:type="paragraph" w:customStyle="1" w:styleId="TableText">
    <w:name w:val="Table Text"/>
    <w:basedOn w:val="Normal"/>
    <w:uiPriority w:val="99"/>
    <w:rsid w:val="00322EB8"/>
    <w:pPr>
      <w:autoSpaceDE w:val="0"/>
      <w:autoSpaceDN w:val="0"/>
      <w:adjustRightInd w:val="0"/>
      <w:ind w:left="72" w:right="72"/>
    </w:pPr>
    <w:rPr>
      <w:rFonts w:cs="Arial"/>
      <w:sz w:val="20"/>
      <w:szCs w:val="20"/>
      <w:lang w:val="en-CA" w:eastAsia="en-CA"/>
    </w:rPr>
  </w:style>
  <w:style w:type="paragraph" w:styleId="Header">
    <w:name w:val="header"/>
    <w:basedOn w:val="Normal"/>
    <w:link w:val="HeaderChar"/>
    <w:semiHidden/>
    <w:rsid w:val="005C018F"/>
    <w:pPr>
      <w:tabs>
        <w:tab w:val="center" w:pos="4680"/>
        <w:tab w:val="right" w:pos="9360"/>
      </w:tabs>
    </w:pPr>
    <w:rPr>
      <w:rFonts w:cs="Arial"/>
    </w:rPr>
  </w:style>
  <w:style w:type="character" w:customStyle="1" w:styleId="HeaderChar">
    <w:name w:val="Header Char"/>
    <w:basedOn w:val="DefaultParagraphFont"/>
    <w:link w:val="Header"/>
    <w:semiHidden/>
    <w:rsid w:val="005C018F"/>
    <w:rPr>
      <w:rFonts w:ascii="Arial" w:eastAsia="Times New Roman" w:hAnsi="Arial" w:cs="Arial"/>
      <w:sz w:val="24"/>
      <w:szCs w:val="24"/>
      <w:lang w:val="en-US"/>
    </w:rPr>
  </w:style>
  <w:style w:type="table" w:styleId="TableGrid">
    <w:name w:val="Table Grid"/>
    <w:basedOn w:val="TableNormal"/>
    <w:uiPriority w:val="39"/>
    <w:rsid w:val="00FB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2A40"/>
    <w:pPr>
      <w:tabs>
        <w:tab w:val="center" w:pos="4680"/>
        <w:tab w:val="right" w:pos="9360"/>
      </w:tabs>
    </w:pPr>
  </w:style>
  <w:style w:type="character" w:customStyle="1" w:styleId="FooterChar">
    <w:name w:val="Footer Char"/>
    <w:basedOn w:val="DefaultParagraphFont"/>
    <w:link w:val="Footer"/>
    <w:uiPriority w:val="99"/>
    <w:rsid w:val="00082A40"/>
    <w:rPr>
      <w:rFonts w:ascii="Arial" w:eastAsia="Times New Roman" w:hAnsi="Arial"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D59AB"/>
    <w:pPr>
      <w:spacing w:after="0"/>
    </w:pPr>
    <w:rPr>
      <w:rFonts w:eastAsia="Times New Roman" w:cs="Times New Roman"/>
      <w:b/>
      <w:bCs/>
      <w:lang w:val="en-US"/>
    </w:rPr>
  </w:style>
  <w:style w:type="character" w:customStyle="1" w:styleId="CommentSubjectChar">
    <w:name w:val="Comment Subject Char"/>
    <w:basedOn w:val="CommentTextChar"/>
    <w:link w:val="CommentSubject"/>
    <w:uiPriority w:val="99"/>
    <w:semiHidden/>
    <w:rsid w:val="004D59AB"/>
    <w:rPr>
      <w:rFonts w:ascii="Arial" w:eastAsia="Times New Roman" w:hAnsi="Arial" w:cs="Times New Roman"/>
      <w:b/>
      <w:bCs/>
      <w:sz w:val="20"/>
      <w:szCs w:val="20"/>
      <w:lang w:val="en-US"/>
    </w:rPr>
  </w:style>
  <w:style w:type="paragraph" w:styleId="Revision">
    <w:name w:val="Revision"/>
    <w:hidden/>
    <w:uiPriority w:val="99"/>
    <w:semiHidden/>
    <w:rsid w:val="00972CE8"/>
    <w:rPr>
      <w:rFonts w:ascii="Arial" w:eastAsia="Times New Roman" w:hAnsi="Arial" w:cs="Times New Roman"/>
      <w:sz w:val="24"/>
      <w:szCs w:val="24"/>
      <w:lang w:val="en-US"/>
    </w:rPr>
  </w:style>
  <w:style w:type="character" w:styleId="FollowedHyperlink">
    <w:name w:val="FollowedHyperlink"/>
    <w:basedOn w:val="DefaultParagraphFont"/>
    <w:uiPriority w:val="99"/>
    <w:semiHidden/>
    <w:unhideWhenUsed/>
    <w:rsid w:val="009C5162"/>
    <w:rPr>
      <w:color w:val="800080" w:themeColor="followedHyperlink"/>
      <w:u w:val="single"/>
    </w:rPr>
  </w:style>
  <w:style w:type="paragraph" w:customStyle="1" w:styleId="pagetag">
    <w:name w:val="pagetag"/>
    <w:basedOn w:val="Normal"/>
    <w:rsid w:val="002C0E55"/>
    <w:pPr>
      <w:spacing w:before="100" w:beforeAutospacing="1" w:after="100" w:afterAutospacing="1"/>
    </w:pPr>
    <w:rPr>
      <w:rFonts w:ascii="Times New Roman" w:hAnsi="Times New Roman"/>
      <w:lang w:val="en-CA" w:eastAsia="en-CA"/>
    </w:rPr>
  </w:style>
  <w:style w:type="paragraph" w:styleId="NoSpacing">
    <w:name w:val="No Spacing"/>
    <w:uiPriority w:val="1"/>
    <w:qFormat/>
    <w:rsid w:val="003B364F"/>
    <w:rPr>
      <w:rFonts w:ascii="Arial" w:eastAsia="Times New Roman" w:hAnsi="Arial" w:cs="Times New Roman"/>
      <w:sz w:val="24"/>
      <w:szCs w:val="24"/>
      <w:lang w:val="en-US"/>
    </w:rPr>
  </w:style>
  <w:style w:type="paragraph" w:customStyle="1" w:styleId="DefaultText">
    <w:name w:val="Default Text"/>
    <w:basedOn w:val="Normal"/>
    <w:rsid w:val="00B97BAB"/>
    <w:pPr>
      <w:autoSpaceDE w:val="0"/>
      <w:autoSpaceDN w:val="0"/>
      <w:adjustRightInd w:val="0"/>
      <w:spacing w:after="0"/>
    </w:pPr>
    <w:rPr>
      <w:rFonts w:ascii="Times New Roman" w:eastAsiaTheme="minorHAnsi" w:hAnsi="Times New Roman"/>
      <w:lang w:val="en-CA"/>
    </w:rPr>
  </w:style>
  <w:style w:type="character" w:customStyle="1" w:styleId="Heading2Char">
    <w:name w:val="Heading 2 Char"/>
    <w:basedOn w:val="DefaultParagraphFont"/>
    <w:link w:val="Heading2"/>
    <w:uiPriority w:val="9"/>
    <w:rsid w:val="00B97BA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97BA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97BAB"/>
    <w:pPr>
      <w:spacing w:before="150" w:after="150"/>
      <w:ind w:left="150" w:right="150"/>
    </w:pPr>
    <w:rPr>
      <w:rFonts w:ascii="Times New Roman" w:hAnsi="Times New Roman"/>
      <w:lang w:val="en-CA" w:eastAsia="en-CA"/>
    </w:rPr>
  </w:style>
  <w:style w:type="character" w:customStyle="1" w:styleId="clauseref">
    <w:name w:val="clauseref"/>
    <w:basedOn w:val="DefaultParagraphFont"/>
    <w:rsid w:val="00B97BAB"/>
  </w:style>
  <w:style w:type="character" w:customStyle="1" w:styleId="element-invisible1">
    <w:name w:val="element-invisible1"/>
    <w:basedOn w:val="DefaultParagraphFont"/>
    <w:rsid w:val="00737DD6"/>
  </w:style>
  <w:style w:type="character" w:customStyle="1" w:styleId="date-display-single2">
    <w:name w:val="date-display-single2"/>
    <w:basedOn w:val="DefaultParagraphFont"/>
    <w:rsid w:val="0073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025">
      <w:bodyDiv w:val="1"/>
      <w:marLeft w:val="0"/>
      <w:marRight w:val="0"/>
      <w:marTop w:val="0"/>
      <w:marBottom w:val="0"/>
      <w:divBdr>
        <w:top w:val="none" w:sz="0" w:space="0" w:color="auto"/>
        <w:left w:val="none" w:sz="0" w:space="0" w:color="auto"/>
        <w:bottom w:val="none" w:sz="0" w:space="0" w:color="auto"/>
        <w:right w:val="none" w:sz="0" w:space="0" w:color="auto"/>
      </w:divBdr>
    </w:div>
    <w:div w:id="39863654">
      <w:bodyDiv w:val="1"/>
      <w:marLeft w:val="0"/>
      <w:marRight w:val="0"/>
      <w:marTop w:val="0"/>
      <w:marBottom w:val="0"/>
      <w:divBdr>
        <w:top w:val="none" w:sz="0" w:space="0" w:color="auto"/>
        <w:left w:val="none" w:sz="0" w:space="0" w:color="auto"/>
        <w:bottom w:val="none" w:sz="0" w:space="0" w:color="auto"/>
        <w:right w:val="none" w:sz="0" w:space="0" w:color="auto"/>
      </w:divBdr>
    </w:div>
    <w:div w:id="65995934">
      <w:bodyDiv w:val="1"/>
      <w:marLeft w:val="0"/>
      <w:marRight w:val="0"/>
      <w:marTop w:val="0"/>
      <w:marBottom w:val="0"/>
      <w:divBdr>
        <w:top w:val="none" w:sz="0" w:space="0" w:color="auto"/>
        <w:left w:val="none" w:sz="0" w:space="0" w:color="auto"/>
        <w:bottom w:val="none" w:sz="0" w:space="0" w:color="auto"/>
        <w:right w:val="none" w:sz="0" w:space="0" w:color="auto"/>
      </w:divBdr>
    </w:div>
    <w:div w:id="149031316">
      <w:bodyDiv w:val="1"/>
      <w:marLeft w:val="0"/>
      <w:marRight w:val="0"/>
      <w:marTop w:val="0"/>
      <w:marBottom w:val="0"/>
      <w:divBdr>
        <w:top w:val="none" w:sz="0" w:space="0" w:color="auto"/>
        <w:left w:val="none" w:sz="0" w:space="0" w:color="auto"/>
        <w:bottom w:val="none" w:sz="0" w:space="0" w:color="auto"/>
        <w:right w:val="none" w:sz="0" w:space="0" w:color="auto"/>
      </w:divBdr>
    </w:div>
    <w:div w:id="368337951">
      <w:bodyDiv w:val="1"/>
      <w:marLeft w:val="0"/>
      <w:marRight w:val="0"/>
      <w:marTop w:val="0"/>
      <w:marBottom w:val="0"/>
      <w:divBdr>
        <w:top w:val="none" w:sz="0" w:space="0" w:color="auto"/>
        <w:left w:val="none" w:sz="0" w:space="0" w:color="auto"/>
        <w:bottom w:val="none" w:sz="0" w:space="0" w:color="auto"/>
        <w:right w:val="none" w:sz="0" w:space="0" w:color="auto"/>
      </w:divBdr>
    </w:div>
    <w:div w:id="414400605">
      <w:bodyDiv w:val="1"/>
      <w:marLeft w:val="0"/>
      <w:marRight w:val="0"/>
      <w:marTop w:val="0"/>
      <w:marBottom w:val="0"/>
      <w:divBdr>
        <w:top w:val="none" w:sz="0" w:space="0" w:color="auto"/>
        <w:left w:val="none" w:sz="0" w:space="0" w:color="auto"/>
        <w:bottom w:val="none" w:sz="0" w:space="0" w:color="auto"/>
        <w:right w:val="none" w:sz="0" w:space="0" w:color="auto"/>
      </w:divBdr>
    </w:div>
    <w:div w:id="484393163">
      <w:bodyDiv w:val="1"/>
      <w:marLeft w:val="0"/>
      <w:marRight w:val="0"/>
      <w:marTop w:val="0"/>
      <w:marBottom w:val="0"/>
      <w:divBdr>
        <w:top w:val="none" w:sz="0" w:space="0" w:color="auto"/>
        <w:left w:val="none" w:sz="0" w:space="0" w:color="auto"/>
        <w:bottom w:val="none" w:sz="0" w:space="0" w:color="auto"/>
        <w:right w:val="none" w:sz="0" w:space="0" w:color="auto"/>
      </w:divBdr>
      <w:divsChild>
        <w:div w:id="1567448762">
          <w:marLeft w:val="0"/>
          <w:marRight w:val="0"/>
          <w:marTop w:val="0"/>
          <w:marBottom w:val="0"/>
          <w:divBdr>
            <w:top w:val="none" w:sz="0" w:space="0" w:color="auto"/>
            <w:left w:val="none" w:sz="0" w:space="0" w:color="auto"/>
            <w:bottom w:val="none" w:sz="0" w:space="0" w:color="auto"/>
            <w:right w:val="none" w:sz="0" w:space="0" w:color="auto"/>
          </w:divBdr>
          <w:divsChild>
            <w:div w:id="1433479076">
              <w:marLeft w:val="-225"/>
              <w:marRight w:val="-225"/>
              <w:marTop w:val="0"/>
              <w:marBottom w:val="0"/>
              <w:divBdr>
                <w:top w:val="none" w:sz="0" w:space="0" w:color="auto"/>
                <w:left w:val="none" w:sz="0" w:space="0" w:color="auto"/>
                <w:bottom w:val="none" w:sz="0" w:space="0" w:color="auto"/>
                <w:right w:val="none" w:sz="0" w:space="0" w:color="auto"/>
              </w:divBdr>
              <w:divsChild>
                <w:div w:id="1031304953">
                  <w:marLeft w:val="0"/>
                  <w:marRight w:val="0"/>
                  <w:marTop w:val="0"/>
                  <w:marBottom w:val="0"/>
                  <w:divBdr>
                    <w:top w:val="none" w:sz="0" w:space="0" w:color="auto"/>
                    <w:left w:val="none" w:sz="0" w:space="0" w:color="auto"/>
                    <w:bottom w:val="none" w:sz="0" w:space="0" w:color="auto"/>
                    <w:right w:val="none" w:sz="0" w:space="0" w:color="auto"/>
                  </w:divBdr>
                  <w:divsChild>
                    <w:div w:id="8217211">
                      <w:marLeft w:val="0"/>
                      <w:marRight w:val="0"/>
                      <w:marTop w:val="0"/>
                      <w:marBottom w:val="0"/>
                      <w:divBdr>
                        <w:top w:val="none" w:sz="0" w:space="0" w:color="auto"/>
                        <w:left w:val="none" w:sz="0" w:space="0" w:color="auto"/>
                        <w:bottom w:val="none" w:sz="0" w:space="0" w:color="auto"/>
                        <w:right w:val="none" w:sz="0" w:space="0" w:color="auto"/>
                      </w:divBdr>
                      <w:divsChild>
                        <w:div w:id="1053045136">
                          <w:marLeft w:val="0"/>
                          <w:marRight w:val="0"/>
                          <w:marTop w:val="600"/>
                          <w:marBottom w:val="600"/>
                          <w:divBdr>
                            <w:top w:val="none" w:sz="0" w:space="0" w:color="auto"/>
                            <w:left w:val="none" w:sz="0" w:space="0" w:color="auto"/>
                            <w:bottom w:val="none" w:sz="0" w:space="0" w:color="auto"/>
                            <w:right w:val="none" w:sz="0" w:space="0" w:color="auto"/>
                          </w:divBdr>
                          <w:divsChild>
                            <w:div w:id="1818498998">
                              <w:marLeft w:val="0"/>
                              <w:marRight w:val="0"/>
                              <w:marTop w:val="0"/>
                              <w:marBottom w:val="150"/>
                              <w:divBdr>
                                <w:top w:val="none" w:sz="0" w:space="0" w:color="auto"/>
                                <w:left w:val="none" w:sz="0" w:space="0" w:color="auto"/>
                                <w:bottom w:val="none" w:sz="0" w:space="0" w:color="auto"/>
                                <w:right w:val="none" w:sz="0" w:space="0" w:color="auto"/>
                              </w:divBdr>
                              <w:divsChild>
                                <w:div w:id="1822623921">
                                  <w:marLeft w:val="0"/>
                                  <w:marRight w:val="0"/>
                                  <w:marTop w:val="0"/>
                                  <w:marBottom w:val="0"/>
                                  <w:divBdr>
                                    <w:top w:val="none" w:sz="0" w:space="0" w:color="auto"/>
                                    <w:left w:val="none" w:sz="0" w:space="0" w:color="auto"/>
                                    <w:bottom w:val="none" w:sz="0" w:space="0" w:color="auto"/>
                                    <w:right w:val="none" w:sz="0" w:space="0" w:color="auto"/>
                                  </w:divBdr>
                                  <w:divsChild>
                                    <w:div w:id="2543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34723">
      <w:bodyDiv w:val="1"/>
      <w:marLeft w:val="0"/>
      <w:marRight w:val="0"/>
      <w:marTop w:val="0"/>
      <w:marBottom w:val="0"/>
      <w:divBdr>
        <w:top w:val="none" w:sz="0" w:space="0" w:color="auto"/>
        <w:left w:val="none" w:sz="0" w:space="0" w:color="auto"/>
        <w:bottom w:val="none" w:sz="0" w:space="0" w:color="auto"/>
        <w:right w:val="none" w:sz="0" w:space="0" w:color="auto"/>
      </w:divBdr>
    </w:div>
    <w:div w:id="911744443">
      <w:bodyDiv w:val="1"/>
      <w:marLeft w:val="0"/>
      <w:marRight w:val="0"/>
      <w:marTop w:val="0"/>
      <w:marBottom w:val="0"/>
      <w:divBdr>
        <w:top w:val="none" w:sz="0" w:space="0" w:color="auto"/>
        <w:left w:val="none" w:sz="0" w:space="0" w:color="auto"/>
        <w:bottom w:val="none" w:sz="0" w:space="0" w:color="auto"/>
        <w:right w:val="none" w:sz="0" w:space="0" w:color="auto"/>
      </w:divBdr>
      <w:divsChild>
        <w:div w:id="2082361965">
          <w:marLeft w:val="0"/>
          <w:marRight w:val="0"/>
          <w:marTop w:val="0"/>
          <w:marBottom w:val="0"/>
          <w:divBdr>
            <w:top w:val="none" w:sz="0" w:space="0" w:color="auto"/>
            <w:left w:val="none" w:sz="0" w:space="0" w:color="auto"/>
            <w:bottom w:val="none" w:sz="0" w:space="0" w:color="auto"/>
            <w:right w:val="none" w:sz="0" w:space="0" w:color="auto"/>
          </w:divBdr>
          <w:divsChild>
            <w:div w:id="1223295873">
              <w:marLeft w:val="0"/>
              <w:marRight w:val="0"/>
              <w:marTop w:val="0"/>
              <w:marBottom w:val="0"/>
              <w:divBdr>
                <w:top w:val="none" w:sz="0" w:space="0" w:color="auto"/>
                <w:left w:val="none" w:sz="0" w:space="0" w:color="auto"/>
                <w:bottom w:val="none" w:sz="0" w:space="0" w:color="auto"/>
                <w:right w:val="none" w:sz="0" w:space="0" w:color="auto"/>
              </w:divBdr>
              <w:divsChild>
                <w:div w:id="556429629">
                  <w:marLeft w:val="0"/>
                  <w:marRight w:val="0"/>
                  <w:marTop w:val="0"/>
                  <w:marBottom w:val="0"/>
                  <w:divBdr>
                    <w:top w:val="none" w:sz="0" w:space="0" w:color="auto"/>
                    <w:left w:val="none" w:sz="0" w:space="0" w:color="auto"/>
                    <w:bottom w:val="none" w:sz="0" w:space="0" w:color="auto"/>
                    <w:right w:val="none" w:sz="0" w:space="0" w:color="auto"/>
                  </w:divBdr>
                  <w:divsChild>
                    <w:div w:id="120539786">
                      <w:marLeft w:val="0"/>
                      <w:marRight w:val="0"/>
                      <w:marTop w:val="0"/>
                      <w:marBottom w:val="0"/>
                      <w:divBdr>
                        <w:top w:val="none" w:sz="0" w:space="0" w:color="auto"/>
                        <w:left w:val="none" w:sz="0" w:space="0" w:color="auto"/>
                        <w:bottom w:val="none" w:sz="0" w:space="0" w:color="auto"/>
                        <w:right w:val="none" w:sz="0" w:space="0" w:color="auto"/>
                      </w:divBdr>
                      <w:divsChild>
                        <w:div w:id="1461651647">
                          <w:marLeft w:val="0"/>
                          <w:marRight w:val="0"/>
                          <w:marTop w:val="0"/>
                          <w:marBottom w:val="0"/>
                          <w:divBdr>
                            <w:top w:val="none" w:sz="0" w:space="0" w:color="auto"/>
                            <w:left w:val="none" w:sz="0" w:space="0" w:color="auto"/>
                            <w:bottom w:val="none" w:sz="0" w:space="0" w:color="auto"/>
                            <w:right w:val="none" w:sz="0" w:space="0" w:color="auto"/>
                          </w:divBdr>
                          <w:divsChild>
                            <w:div w:id="1857235316">
                              <w:marLeft w:val="0"/>
                              <w:marRight w:val="0"/>
                              <w:marTop w:val="0"/>
                              <w:marBottom w:val="0"/>
                              <w:divBdr>
                                <w:top w:val="none" w:sz="0" w:space="0" w:color="auto"/>
                                <w:left w:val="none" w:sz="0" w:space="0" w:color="auto"/>
                                <w:bottom w:val="none" w:sz="0" w:space="0" w:color="auto"/>
                                <w:right w:val="none" w:sz="0" w:space="0" w:color="auto"/>
                              </w:divBdr>
                              <w:divsChild>
                                <w:div w:id="660163649">
                                  <w:marLeft w:val="0"/>
                                  <w:marRight w:val="0"/>
                                  <w:marTop w:val="0"/>
                                  <w:marBottom w:val="0"/>
                                  <w:divBdr>
                                    <w:top w:val="none" w:sz="0" w:space="0" w:color="auto"/>
                                    <w:left w:val="none" w:sz="0" w:space="0" w:color="auto"/>
                                    <w:bottom w:val="none" w:sz="0" w:space="0" w:color="auto"/>
                                    <w:right w:val="none" w:sz="0" w:space="0" w:color="auto"/>
                                  </w:divBdr>
                                  <w:divsChild>
                                    <w:div w:id="1850636241">
                                      <w:marLeft w:val="0"/>
                                      <w:marRight w:val="0"/>
                                      <w:marTop w:val="0"/>
                                      <w:marBottom w:val="0"/>
                                      <w:divBdr>
                                        <w:top w:val="none" w:sz="0" w:space="0" w:color="auto"/>
                                        <w:left w:val="none" w:sz="0" w:space="0" w:color="auto"/>
                                        <w:bottom w:val="none" w:sz="0" w:space="0" w:color="auto"/>
                                        <w:right w:val="none" w:sz="0" w:space="0" w:color="auto"/>
                                      </w:divBdr>
                                      <w:divsChild>
                                        <w:div w:id="1826699371">
                                          <w:marLeft w:val="0"/>
                                          <w:marRight w:val="0"/>
                                          <w:marTop w:val="0"/>
                                          <w:marBottom w:val="0"/>
                                          <w:divBdr>
                                            <w:top w:val="none" w:sz="0" w:space="0" w:color="auto"/>
                                            <w:left w:val="none" w:sz="0" w:space="0" w:color="auto"/>
                                            <w:bottom w:val="none" w:sz="0" w:space="0" w:color="auto"/>
                                            <w:right w:val="none" w:sz="0" w:space="0" w:color="auto"/>
                                          </w:divBdr>
                                          <w:divsChild>
                                            <w:div w:id="2226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427432">
      <w:bodyDiv w:val="1"/>
      <w:marLeft w:val="0"/>
      <w:marRight w:val="0"/>
      <w:marTop w:val="0"/>
      <w:marBottom w:val="0"/>
      <w:divBdr>
        <w:top w:val="none" w:sz="0" w:space="0" w:color="auto"/>
        <w:left w:val="none" w:sz="0" w:space="0" w:color="auto"/>
        <w:bottom w:val="none" w:sz="0" w:space="0" w:color="auto"/>
        <w:right w:val="none" w:sz="0" w:space="0" w:color="auto"/>
      </w:divBdr>
      <w:divsChild>
        <w:div w:id="819082872">
          <w:marLeft w:val="0"/>
          <w:marRight w:val="0"/>
          <w:marTop w:val="0"/>
          <w:marBottom w:val="0"/>
          <w:divBdr>
            <w:top w:val="none" w:sz="0" w:space="0" w:color="auto"/>
            <w:left w:val="none" w:sz="0" w:space="0" w:color="auto"/>
            <w:bottom w:val="none" w:sz="0" w:space="0" w:color="auto"/>
            <w:right w:val="none" w:sz="0" w:space="0" w:color="auto"/>
          </w:divBdr>
          <w:divsChild>
            <w:div w:id="1080832935">
              <w:marLeft w:val="0"/>
              <w:marRight w:val="0"/>
              <w:marTop w:val="0"/>
              <w:marBottom w:val="0"/>
              <w:divBdr>
                <w:top w:val="none" w:sz="0" w:space="0" w:color="auto"/>
                <w:left w:val="none" w:sz="0" w:space="0" w:color="auto"/>
                <w:bottom w:val="none" w:sz="0" w:space="0" w:color="auto"/>
                <w:right w:val="none" w:sz="0" w:space="0" w:color="auto"/>
              </w:divBdr>
              <w:divsChild>
                <w:div w:id="862014654">
                  <w:marLeft w:val="0"/>
                  <w:marRight w:val="0"/>
                  <w:marTop w:val="0"/>
                  <w:marBottom w:val="0"/>
                  <w:divBdr>
                    <w:top w:val="none" w:sz="0" w:space="0" w:color="auto"/>
                    <w:left w:val="none" w:sz="0" w:space="0" w:color="auto"/>
                    <w:bottom w:val="none" w:sz="0" w:space="0" w:color="auto"/>
                    <w:right w:val="none" w:sz="0" w:space="0" w:color="auto"/>
                  </w:divBdr>
                  <w:divsChild>
                    <w:div w:id="1704406514">
                      <w:marLeft w:val="0"/>
                      <w:marRight w:val="0"/>
                      <w:marTop w:val="0"/>
                      <w:marBottom w:val="0"/>
                      <w:divBdr>
                        <w:top w:val="none" w:sz="0" w:space="0" w:color="auto"/>
                        <w:left w:val="none" w:sz="0" w:space="0" w:color="auto"/>
                        <w:bottom w:val="none" w:sz="0" w:space="0" w:color="auto"/>
                        <w:right w:val="none" w:sz="0" w:space="0" w:color="auto"/>
                      </w:divBdr>
                      <w:divsChild>
                        <w:div w:id="757752054">
                          <w:marLeft w:val="0"/>
                          <w:marRight w:val="0"/>
                          <w:marTop w:val="0"/>
                          <w:marBottom w:val="0"/>
                          <w:divBdr>
                            <w:top w:val="none" w:sz="0" w:space="0" w:color="auto"/>
                            <w:left w:val="none" w:sz="0" w:space="0" w:color="auto"/>
                            <w:bottom w:val="none" w:sz="0" w:space="0" w:color="auto"/>
                            <w:right w:val="none" w:sz="0" w:space="0" w:color="auto"/>
                          </w:divBdr>
                          <w:divsChild>
                            <w:div w:id="2029140297">
                              <w:marLeft w:val="0"/>
                              <w:marRight w:val="0"/>
                              <w:marTop w:val="0"/>
                              <w:marBottom w:val="0"/>
                              <w:divBdr>
                                <w:top w:val="none" w:sz="0" w:space="0" w:color="auto"/>
                                <w:left w:val="none" w:sz="0" w:space="0" w:color="auto"/>
                                <w:bottom w:val="none" w:sz="0" w:space="0" w:color="auto"/>
                                <w:right w:val="none" w:sz="0" w:space="0" w:color="auto"/>
                              </w:divBdr>
                              <w:divsChild>
                                <w:div w:id="1061094140">
                                  <w:marLeft w:val="0"/>
                                  <w:marRight w:val="0"/>
                                  <w:marTop w:val="0"/>
                                  <w:marBottom w:val="0"/>
                                  <w:divBdr>
                                    <w:top w:val="none" w:sz="0" w:space="0" w:color="auto"/>
                                    <w:left w:val="none" w:sz="0" w:space="0" w:color="auto"/>
                                    <w:bottom w:val="none" w:sz="0" w:space="0" w:color="auto"/>
                                    <w:right w:val="none" w:sz="0" w:space="0" w:color="auto"/>
                                  </w:divBdr>
                                  <w:divsChild>
                                    <w:div w:id="883715652">
                                      <w:marLeft w:val="0"/>
                                      <w:marRight w:val="0"/>
                                      <w:marTop w:val="0"/>
                                      <w:marBottom w:val="0"/>
                                      <w:divBdr>
                                        <w:top w:val="none" w:sz="0" w:space="0" w:color="auto"/>
                                        <w:left w:val="none" w:sz="0" w:space="0" w:color="auto"/>
                                        <w:bottom w:val="none" w:sz="0" w:space="0" w:color="auto"/>
                                        <w:right w:val="none" w:sz="0" w:space="0" w:color="auto"/>
                                      </w:divBdr>
                                      <w:divsChild>
                                        <w:div w:id="497579942">
                                          <w:marLeft w:val="0"/>
                                          <w:marRight w:val="0"/>
                                          <w:marTop w:val="0"/>
                                          <w:marBottom w:val="0"/>
                                          <w:divBdr>
                                            <w:top w:val="none" w:sz="0" w:space="0" w:color="auto"/>
                                            <w:left w:val="none" w:sz="0" w:space="0" w:color="auto"/>
                                            <w:bottom w:val="none" w:sz="0" w:space="0" w:color="auto"/>
                                            <w:right w:val="none" w:sz="0" w:space="0" w:color="auto"/>
                                          </w:divBdr>
                                          <w:divsChild>
                                            <w:div w:id="61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944239">
      <w:bodyDiv w:val="1"/>
      <w:marLeft w:val="0"/>
      <w:marRight w:val="0"/>
      <w:marTop w:val="0"/>
      <w:marBottom w:val="0"/>
      <w:divBdr>
        <w:top w:val="none" w:sz="0" w:space="0" w:color="auto"/>
        <w:left w:val="none" w:sz="0" w:space="0" w:color="auto"/>
        <w:bottom w:val="none" w:sz="0" w:space="0" w:color="auto"/>
        <w:right w:val="none" w:sz="0" w:space="0" w:color="auto"/>
      </w:divBdr>
    </w:div>
    <w:div w:id="1002440500">
      <w:bodyDiv w:val="1"/>
      <w:marLeft w:val="0"/>
      <w:marRight w:val="0"/>
      <w:marTop w:val="0"/>
      <w:marBottom w:val="0"/>
      <w:divBdr>
        <w:top w:val="none" w:sz="0" w:space="0" w:color="auto"/>
        <w:left w:val="none" w:sz="0" w:space="0" w:color="auto"/>
        <w:bottom w:val="none" w:sz="0" w:space="0" w:color="auto"/>
        <w:right w:val="none" w:sz="0" w:space="0" w:color="auto"/>
      </w:divBdr>
    </w:div>
    <w:div w:id="1007905674">
      <w:bodyDiv w:val="1"/>
      <w:marLeft w:val="0"/>
      <w:marRight w:val="0"/>
      <w:marTop w:val="0"/>
      <w:marBottom w:val="0"/>
      <w:divBdr>
        <w:top w:val="none" w:sz="0" w:space="0" w:color="auto"/>
        <w:left w:val="none" w:sz="0" w:space="0" w:color="auto"/>
        <w:bottom w:val="none" w:sz="0" w:space="0" w:color="auto"/>
        <w:right w:val="none" w:sz="0" w:space="0" w:color="auto"/>
      </w:divBdr>
    </w:div>
    <w:div w:id="1086071112">
      <w:bodyDiv w:val="1"/>
      <w:marLeft w:val="0"/>
      <w:marRight w:val="0"/>
      <w:marTop w:val="0"/>
      <w:marBottom w:val="0"/>
      <w:divBdr>
        <w:top w:val="none" w:sz="0" w:space="0" w:color="auto"/>
        <w:left w:val="none" w:sz="0" w:space="0" w:color="auto"/>
        <w:bottom w:val="none" w:sz="0" w:space="0" w:color="auto"/>
        <w:right w:val="none" w:sz="0" w:space="0" w:color="auto"/>
      </w:divBdr>
    </w:div>
    <w:div w:id="1238125010">
      <w:bodyDiv w:val="1"/>
      <w:marLeft w:val="0"/>
      <w:marRight w:val="0"/>
      <w:marTop w:val="0"/>
      <w:marBottom w:val="0"/>
      <w:divBdr>
        <w:top w:val="none" w:sz="0" w:space="0" w:color="auto"/>
        <w:left w:val="none" w:sz="0" w:space="0" w:color="auto"/>
        <w:bottom w:val="none" w:sz="0" w:space="0" w:color="auto"/>
        <w:right w:val="none" w:sz="0" w:space="0" w:color="auto"/>
      </w:divBdr>
    </w:div>
    <w:div w:id="1437285959">
      <w:bodyDiv w:val="1"/>
      <w:marLeft w:val="0"/>
      <w:marRight w:val="0"/>
      <w:marTop w:val="0"/>
      <w:marBottom w:val="0"/>
      <w:divBdr>
        <w:top w:val="none" w:sz="0" w:space="0" w:color="auto"/>
        <w:left w:val="none" w:sz="0" w:space="0" w:color="auto"/>
        <w:bottom w:val="none" w:sz="0" w:space="0" w:color="auto"/>
        <w:right w:val="none" w:sz="0" w:space="0" w:color="auto"/>
      </w:divBdr>
    </w:div>
    <w:div w:id="1456681061">
      <w:bodyDiv w:val="1"/>
      <w:marLeft w:val="0"/>
      <w:marRight w:val="0"/>
      <w:marTop w:val="0"/>
      <w:marBottom w:val="0"/>
      <w:divBdr>
        <w:top w:val="none" w:sz="0" w:space="0" w:color="auto"/>
        <w:left w:val="none" w:sz="0" w:space="0" w:color="auto"/>
        <w:bottom w:val="none" w:sz="0" w:space="0" w:color="auto"/>
        <w:right w:val="none" w:sz="0" w:space="0" w:color="auto"/>
      </w:divBdr>
    </w:div>
    <w:div w:id="1597712567">
      <w:bodyDiv w:val="1"/>
      <w:marLeft w:val="0"/>
      <w:marRight w:val="0"/>
      <w:marTop w:val="0"/>
      <w:marBottom w:val="0"/>
      <w:divBdr>
        <w:top w:val="none" w:sz="0" w:space="0" w:color="auto"/>
        <w:left w:val="none" w:sz="0" w:space="0" w:color="auto"/>
        <w:bottom w:val="none" w:sz="0" w:space="0" w:color="auto"/>
        <w:right w:val="none" w:sz="0" w:space="0" w:color="auto"/>
      </w:divBdr>
    </w:div>
    <w:div w:id="1607541449">
      <w:bodyDiv w:val="1"/>
      <w:marLeft w:val="0"/>
      <w:marRight w:val="0"/>
      <w:marTop w:val="0"/>
      <w:marBottom w:val="0"/>
      <w:divBdr>
        <w:top w:val="none" w:sz="0" w:space="0" w:color="auto"/>
        <w:left w:val="none" w:sz="0" w:space="0" w:color="auto"/>
        <w:bottom w:val="none" w:sz="0" w:space="0" w:color="auto"/>
        <w:right w:val="none" w:sz="0" w:space="0" w:color="auto"/>
      </w:divBdr>
    </w:div>
    <w:div w:id="1630740069">
      <w:bodyDiv w:val="1"/>
      <w:marLeft w:val="0"/>
      <w:marRight w:val="0"/>
      <w:marTop w:val="0"/>
      <w:marBottom w:val="0"/>
      <w:divBdr>
        <w:top w:val="none" w:sz="0" w:space="0" w:color="auto"/>
        <w:left w:val="none" w:sz="0" w:space="0" w:color="auto"/>
        <w:bottom w:val="none" w:sz="0" w:space="0" w:color="auto"/>
        <w:right w:val="none" w:sz="0" w:space="0" w:color="auto"/>
      </w:divBdr>
    </w:div>
    <w:div w:id="1659503091">
      <w:bodyDiv w:val="1"/>
      <w:marLeft w:val="0"/>
      <w:marRight w:val="0"/>
      <w:marTop w:val="0"/>
      <w:marBottom w:val="0"/>
      <w:divBdr>
        <w:top w:val="none" w:sz="0" w:space="0" w:color="auto"/>
        <w:left w:val="none" w:sz="0" w:space="0" w:color="auto"/>
        <w:bottom w:val="none" w:sz="0" w:space="0" w:color="auto"/>
        <w:right w:val="none" w:sz="0" w:space="0" w:color="auto"/>
      </w:divBdr>
    </w:div>
    <w:div w:id="1764908935">
      <w:bodyDiv w:val="1"/>
      <w:marLeft w:val="0"/>
      <w:marRight w:val="0"/>
      <w:marTop w:val="0"/>
      <w:marBottom w:val="0"/>
      <w:divBdr>
        <w:top w:val="none" w:sz="0" w:space="0" w:color="auto"/>
        <w:left w:val="none" w:sz="0" w:space="0" w:color="auto"/>
        <w:bottom w:val="none" w:sz="0" w:space="0" w:color="auto"/>
        <w:right w:val="none" w:sz="0" w:space="0" w:color="auto"/>
      </w:divBdr>
    </w:div>
    <w:div w:id="1829782780">
      <w:bodyDiv w:val="1"/>
      <w:marLeft w:val="0"/>
      <w:marRight w:val="0"/>
      <w:marTop w:val="0"/>
      <w:marBottom w:val="0"/>
      <w:divBdr>
        <w:top w:val="none" w:sz="0" w:space="0" w:color="auto"/>
        <w:left w:val="none" w:sz="0" w:space="0" w:color="auto"/>
        <w:bottom w:val="none" w:sz="0" w:space="0" w:color="auto"/>
        <w:right w:val="none" w:sz="0" w:space="0" w:color="auto"/>
      </w:divBdr>
    </w:div>
    <w:div w:id="1939370198">
      <w:bodyDiv w:val="1"/>
      <w:marLeft w:val="0"/>
      <w:marRight w:val="0"/>
      <w:marTop w:val="0"/>
      <w:marBottom w:val="0"/>
      <w:divBdr>
        <w:top w:val="none" w:sz="0" w:space="0" w:color="auto"/>
        <w:left w:val="none" w:sz="0" w:space="0" w:color="auto"/>
        <w:bottom w:val="none" w:sz="0" w:space="0" w:color="auto"/>
        <w:right w:val="none" w:sz="0" w:space="0" w:color="auto"/>
      </w:divBdr>
    </w:div>
    <w:div w:id="1979526641">
      <w:bodyDiv w:val="1"/>
      <w:marLeft w:val="0"/>
      <w:marRight w:val="0"/>
      <w:marTop w:val="0"/>
      <w:marBottom w:val="0"/>
      <w:divBdr>
        <w:top w:val="none" w:sz="0" w:space="0" w:color="auto"/>
        <w:left w:val="none" w:sz="0" w:space="0" w:color="auto"/>
        <w:bottom w:val="none" w:sz="0" w:space="0" w:color="auto"/>
        <w:right w:val="none" w:sz="0" w:space="0" w:color="auto"/>
      </w:divBdr>
    </w:div>
    <w:div w:id="20528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g.quebec/uploads/AFG_Bareme_honoraires_2015_EN.pd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barchitects.org/docs/guide_architectservicefees(e).pdf" TargetMode="External"/><Relationship Id="rId4" Type="http://schemas.openxmlformats.org/officeDocument/2006/relationships/settings" Target="settings.xml"/><Relationship Id="rId9" Type="http://schemas.openxmlformats.org/officeDocument/2006/relationships/hyperlink" Target="https://www.ospe.on.ca/public/documents/general/2015-fee-guidelin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0AFC-22D4-4031-BC74-203D3486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Newman</dc:creator>
  <cp:lastModifiedBy>Brigitte Loignon</cp:lastModifiedBy>
  <cp:revision>4</cp:revision>
  <cp:lastPrinted>2018-02-06T18:30:00Z</cp:lastPrinted>
  <dcterms:created xsi:type="dcterms:W3CDTF">2018-02-15T18:21:00Z</dcterms:created>
  <dcterms:modified xsi:type="dcterms:W3CDTF">2018-02-15T19:18:00Z</dcterms:modified>
</cp:coreProperties>
</file>