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EE" w:rsidRPr="000F51EA" w:rsidRDefault="00D818EE" w:rsidP="00A05D22">
      <w:pPr>
        <w:spacing w:after="0"/>
        <w:jc w:val="center"/>
        <w:rPr>
          <w:rFonts w:cstheme="minorHAnsi"/>
          <w:sz w:val="24"/>
          <w:szCs w:val="24"/>
        </w:rPr>
      </w:pPr>
      <w:r w:rsidRPr="000F51EA">
        <w:rPr>
          <w:rFonts w:cstheme="minorHAnsi"/>
          <w:sz w:val="24"/>
          <w:szCs w:val="24"/>
        </w:rPr>
        <w:t>Annex A</w:t>
      </w:r>
    </w:p>
    <w:p w:rsidR="00D818EE" w:rsidRDefault="00D818EE" w:rsidP="00A05D22">
      <w:pPr>
        <w:spacing w:after="0" w:line="240" w:lineRule="auto"/>
        <w:jc w:val="center"/>
        <w:rPr>
          <w:sz w:val="24"/>
          <w:szCs w:val="24"/>
        </w:rPr>
      </w:pPr>
      <w:r w:rsidRPr="00D818EE">
        <w:rPr>
          <w:sz w:val="24"/>
          <w:szCs w:val="24"/>
        </w:rPr>
        <w:t>Appendix 1</w:t>
      </w:r>
    </w:p>
    <w:p w:rsidR="00D818EE" w:rsidRPr="00066176" w:rsidRDefault="00D818EE" w:rsidP="00A05D22">
      <w:pPr>
        <w:spacing w:after="0" w:line="240" w:lineRule="auto"/>
        <w:jc w:val="center"/>
        <w:rPr>
          <w:sz w:val="24"/>
          <w:szCs w:val="24"/>
          <w:u w:val="single"/>
        </w:rPr>
      </w:pPr>
      <w:r w:rsidRPr="00066176">
        <w:rPr>
          <w:sz w:val="24"/>
          <w:szCs w:val="24"/>
          <w:u w:val="single"/>
        </w:rPr>
        <w:t>Parks Canada Agency Built Asset Categories</w:t>
      </w:r>
    </w:p>
    <w:p w:rsidR="00A05D22" w:rsidRPr="002642F9" w:rsidRDefault="00A05D22" w:rsidP="00A05D22">
      <w:pPr>
        <w:tabs>
          <w:tab w:val="right" w:leader="underscore" w:pos="9361"/>
        </w:tabs>
        <w:rPr>
          <w:szCs w:val="20"/>
        </w:rPr>
      </w:pPr>
      <w:r w:rsidRPr="002642F9">
        <w:rPr>
          <w:szCs w:val="20"/>
        </w:rPr>
        <w:tab/>
      </w:r>
    </w:p>
    <w:p w:rsidR="00D818EE" w:rsidRDefault="00D818EE" w:rsidP="00D818EE">
      <w:pPr>
        <w:spacing w:after="0" w:line="240" w:lineRule="auto"/>
        <w:rPr>
          <w:sz w:val="24"/>
          <w:szCs w:val="24"/>
        </w:rPr>
      </w:pPr>
    </w:p>
    <w:p w:rsidR="00D818EE" w:rsidRPr="00C90AAE" w:rsidRDefault="00D818EE" w:rsidP="00F255CE">
      <w:pPr>
        <w:spacing w:after="0" w:line="240" w:lineRule="auto"/>
        <w:rPr>
          <w:rFonts w:cstheme="minorHAnsi"/>
          <w:sz w:val="24"/>
          <w:szCs w:val="24"/>
        </w:rPr>
      </w:pPr>
      <w:r w:rsidRPr="00C90AAE">
        <w:rPr>
          <w:sz w:val="24"/>
          <w:szCs w:val="24"/>
        </w:rPr>
        <w:t xml:space="preserve">The Assessment will be limited to </w:t>
      </w:r>
      <w:proofErr w:type="spellStart"/>
      <w:r w:rsidRPr="00C90AAE">
        <w:rPr>
          <w:sz w:val="24"/>
          <w:szCs w:val="24"/>
        </w:rPr>
        <w:t>built</w:t>
      </w:r>
      <w:proofErr w:type="spellEnd"/>
      <w:r w:rsidRPr="00C90AAE">
        <w:rPr>
          <w:sz w:val="24"/>
          <w:szCs w:val="24"/>
        </w:rPr>
        <w:t xml:space="preserve"> assets (buildings and infrastructure). </w:t>
      </w:r>
      <w:r w:rsidR="00F255CE">
        <w:rPr>
          <w:sz w:val="24"/>
          <w:szCs w:val="24"/>
        </w:rPr>
        <w:t xml:space="preserve"> </w:t>
      </w:r>
      <w:r w:rsidRPr="00C90AAE">
        <w:rPr>
          <w:rFonts w:cstheme="minorHAnsi"/>
          <w:sz w:val="24"/>
          <w:szCs w:val="24"/>
        </w:rPr>
        <w:t>For asset management purposes, PCA’s built asset categories, types and components are as follows:</w:t>
      </w:r>
    </w:p>
    <w:p w:rsidR="00D818EE" w:rsidRPr="00C90AAE" w:rsidRDefault="00D818EE" w:rsidP="00D818EE">
      <w:pPr>
        <w:pStyle w:val="ListParagraph"/>
        <w:numPr>
          <w:ilvl w:val="0"/>
          <w:numId w:val="2"/>
        </w:numPr>
        <w:autoSpaceDE/>
        <w:autoSpaceDN/>
        <w:adjustRightInd/>
        <w:spacing w:after="60"/>
        <w:ind w:left="714" w:hanging="357"/>
        <w:rPr>
          <w:rFonts w:asciiTheme="minorHAnsi" w:hAnsiTheme="minorHAnsi" w:cstheme="minorHAnsi"/>
          <w:sz w:val="24"/>
          <w:szCs w:val="24"/>
        </w:rPr>
      </w:pPr>
      <w:r w:rsidRPr="00C90AAE">
        <w:rPr>
          <w:rFonts w:asciiTheme="minorHAnsi" w:hAnsiTheme="minorHAnsi" w:cstheme="minorHAnsi"/>
          <w:sz w:val="24"/>
          <w:szCs w:val="24"/>
        </w:rPr>
        <w:t>Buildings: Building types include Public Use, Operations &amp; General Use, Office &amp; Administration, and Residential. Components include, but not limited to, foundations, structure, exterior walls, roofing, doors, windows, and electrical/mechanical systems.</w:t>
      </w:r>
    </w:p>
    <w:p w:rsidR="00D818EE" w:rsidRPr="00C90AAE" w:rsidRDefault="00D818EE" w:rsidP="00D818EE">
      <w:pPr>
        <w:pStyle w:val="ListParagraph"/>
        <w:numPr>
          <w:ilvl w:val="0"/>
          <w:numId w:val="2"/>
        </w:numPr>
        <w:autoSpaceDE/>
        <w:autoSpaceDN/>
        <w:adjustRightInd/>
        <w:spacing w:after="60"/>
        <w:ind w:left="714" w:hanging="357"/>
        <w:rPr>
          <w:rFonts w:asciiTheme="minorHAnsi" w:hAnsiTheme="minorHAnsi" w:cstheme="minorHAnsi"/>
          <w:sz w:val="24"/>
          <w:szCs w:val="24"/>
        </w:rPr>
      </w:pPr>
      <w:bookmarkStart w:id="0" w:name="_GoBack"/>
      <w:bookmarkEnd w:id="0"/>
      <w:r w:rsidRPr="00C90AAE">
        <w:rPr>
          <w:rFonts w:asciiTheme="minorHAnsi" w:hAnsiTheme="minorHAnsi" w:cstheme="minorHAnsi"/>
          <w:sz w:val="24"/>
          <w:szCs w:val="24"/>
        </w:rPr>
        <w:t xml:space="preserve">Fortifications: Types include Bastion, Demi-Bastion, </w:t>
      </w:r>
      <w:proofErr w:type="spellStart"/>
      <w:r w:rsidRPr="00C90AAE">
        <w:rPr>
          <w:rFonts w:asciiTheme="minorHAnsi" w:hAnsiTheme="minorHAnsi" w:cstheme="minorHAnsi"/>
          <w:sz w:val="24"/>
          <w:szCs w:val="24"/>
        </w:rPr>
        <w:t>Redan</w:t>
      </w:r>
      <w:proofErr w:type="spellEnd"/>
      <w:r w:rsidRPr="00C90AAE">
        <w:rPr>
          <w:rFonts w:asciiTheme="minorHAnsi" w:hAnsiTheme="minorHAnsi" w:cstheme="minorHAnsi"/>
          <w:sz w:val="24"/>
          <w:szCs w:val="24"/>
        </w:rPr>
        <w:t>, Salient, Curtain, Gate, Blockhouse, and Martello Tower. Components, but not limited to, include walls, vaults, foundations, drainage, and earthworks.</w:t>
      </w:r>
    </w:p>
    <w:p w:rsidR="00D818EE" w:rsidRPr="00C90AAE" w:rsidRDefault="00D818EE" w:rsidP="00D818EE">
      <w:pPr>
        <w:pStyle w:val="ListParagraph"/>
        <w:numPr>
          <w:ilvl w:val="0"/>
          <w:numId w:val="2"/>
        </w:numPr>
        <w:autoSpaceDE/>
        <w:autoSpaceDN/>
        <w:adjustRightInd/>
        <w:spacing w:after="60"/>
        <w:ind w:left="714" w:hanging="357"/>
        <w:rPr>
          <w:rFonts w:asciiTheme="minorHAnsi" w:hAnsiTheme="minorHAnsi" w:cstheme="minorHAnsi"/>
          <w:sz w:val="24"/>
          <w:szCs w:val="24"/>
        </w:rPr>
      </w:pPr>
      <w:r w:rsidRPr="00C90AAE">
        <w:rPr>
          <w:rFonts w:asciiTheme="minorHAnsi" w:hAnsiTheme="minorHAnsi" w:cstheme="minorHAnsi"/>
          <w:sz w:val="24"/>
          <w:szCs w:val="24"/>
        </w:rPr>
        <w:t>Highways: Category 1 – Trans Canada Highway (TCH); Category 2 – Through highways (excluding TCH) - usually national and/or provincially numbered highways that pass through a national park or historic site as well as connect outlying communities. Components include, but not limited to, pavement, structural elements, guiderails, soil and rock slopes, and drainage structures.</w:t>
      </w:r>
    </w:p>
    <w:p w:rsidR="00D818EE" w:rsidRPr="00C90AAE" w:rsidRDefault="00D818EE" w:rsidP="00D818EE">
      <w:pPr>
        <w:pStyle w:val="ListParagraph"/>
        <w:numPr>
          <w:ilvl w:val="0"/>
          <w:numId w:val="2"/>
        </w:numPr>
        <w:autoSpaceDE/>
        <w:autoSpaceDN/>
        <w:adjustRightInd/>
        <w:spacing w:after="60"/>
        <w:ind w:left="714" w:hanging="357"/>
        <w:rPr>
          <w:rFonts w:asciiTheme="minorHAnsi" w:hAnsiTheme="minorHAnsi" w:cstheme="minorHAnsi"/>
          <w:sz w:val="24"/>
          <w:szCs w:val="24"/>
        </w:rPr>
      </w:pPr>
      <w:r w:rsidRPr="00C90AAE">
        <w:rPr>
          <w:rFonts w:asciiTheme="minorHAnsi" w:hAnsiTheme="minorHAnsi" w:cstheme="minorHAnsi"/>
          <w:sz w:val="24"/>
          <w:szCs w:val="24"/>
        </w:rPr>
        <w:t xml:space="preserve">Roads: Road categories include Category 3 – Special attraction roads that are the experience or attraction onto themselves (Bow Valley Parkway - Banff NP, </w:t>
      </w:r>
      <w:proofErr w:type="spellStart"/>
      <w:r w:rsidRPr="00C90AAE">
        <w:rPr>
          <w:rFonts w:asciiTheme="minorHAnsi" w:hAnsiTheme="minorHAnsi" w:cstheme="minorHAnsi"/>
          <w:sz w:val="24"/>
          <w:szCs w:val="24"/>
        </w:rPr>
        <w:t>Icefields</w:t>
      </w:r>
      <w:proofErr w:type="spellEnd"/>
      <w:r w:rsidRPr="00C90AAE">
        <w:rPr>
          <w:rFonts w:asciiTheme="minorHAnsi" w:hAnsiTheme="minorHAnsi" w:cstheme="minorHAnsi"/>
          <w:sz w:val="24"/>
          <w:szCs w:val="24"/>
        </w:rPr>
        <w:t xml:space="preserve"> Parkway - Banff NP and Jasper NP, Gulf Shore Parkway - Prince Edward Island NP and Route </w:t>
      </w:r>
      <w:proofErr w:type="spellStart"/>
      <w:r w:rsidRPr="00C90AAE">
        <w:rPr>
          <w:rFonts w:asciiTheme="minorHAnsi" w:hAnsiTheme="minorHAnsi" w:cstheme="minorHAnsi"/>
          <w:sz w:val="24"/>
          <w:szCs w:val="24"/>
        </w:rPr>
        <w:t>panoramique</w:t>
      </w:r>
      <w:proofErr w:type="spellEnd"/>
      <w:r w:rsidRPr="00C90AAE">
        <w:rPr>
          <w:rFonts w:asciiTheme="minorHAnsi" w:hAnsiTheme="minorHAnsi" w:cstheme="minorHAnsi"/>
          <w:sz w:val="24"/>
          <w:szCs w:val="24"/>
        </w:rPr>
        <w:t xml:space="preserve"> - La Maurice NP);  Category 4 – Access roads to primarily visitor facilities such as information centres, campgrounds, day use areas, viewpoints; Category 5 – Access roads to private facilities such as ski hills, golf courses, cottages; Category 6 – Service roads to administration buildings, maintenance compounds, warden stations. Components, but not limited to, include pavement, structural elements, guiderails, soil and rock slopes, and drainage structures.</w:t>
      </w:r>
    </w:p>
    <w:p w:rsidR="00D818EE" w:rsidRPr="00C90AAE" w:rsidRDefault="00D818EE" w:rsidP="00D818EE">
      <w:pPr>
        <w:pStyle w:val="ListParagraph"/>
        <w:numPr>
          <w:ilvl w:val="0"/>
          <w:numId w:val="2"/>
        </w:numPr>
        <w:autoSpaceDE/>
        <w:autoSpaceDN/>
        <w:adjustRightInd/>
        <w:spacing w:after="60"/>
        <w:ind w:left="714" w:hanging="357"/>
        <w:rPr>
          <w:rFonts w:asciiTheme="minorHAnsi" w:hAnsiTheme="minorHAnsi" w:cstheme="minorHAnsi"/>
          <w:sz w:val="24"/>
          <w:szCs w:val="24"/>
        </w:rPr>
      </w:pPr>
      <w:r w:rsidRPr="00C90AAE">
        <w:rPr>
          <w:rFonts w:asciiTheme="minorHAnsi" w:hAnsiTheme="minorHAnsi" w:cstheme="minorHAnsi"/>
          <w:sz w:val="24"/>
          <w:szCs w:val="24"/>
        </w:rPr>
        <w:t>Bridges: Types include vehicular bridges, pedestrian/trail bridges and structural culverts. Vehicular bridges are usually categorized by the category of roadway they are on. Components include, but not limited to, abutments, piles, super structure, decks and other elements such as guiderails and lighting.</w:t>
      </w:r>
    </w:p>
    <w:p w:rsidR="00D818EE" w:rsidRPr="00C90AAE" w:rsidRDefault="00D818EE" w:rsidP="00D818EE">
      <w:pPr>
        <w:pStyle w:val="ListParagraph"/>
        <w:numPr>
          <w:ilvl w:val="0"/>
          <w:numId w:val="2"/>
        </w:numPr>
        <w:autoSpaceDE/>
        <w:autoSpaceDN/>
        <w:adjustRightInd/>
        <w:spacing w:after="60"/>
        <w:ind w:left="714" w:hanging="357"/>
        <w:rPr>
          <w:rFonts w:asciiTheme="minorHAnsi" w:hAnsiTheme="minorHAnsi" w:cstheme="minorHAnsi"/>
          <w:sz w:val="24"/>
          <w:szCs w:val="24"/>
        </w:rPr>
      </w:pPr>
      <w:r w:rsidRPr="00C90AAE">
        <w:rPr>
          <w:rFonts w:asciiTheme="minorHAnsi" w:hAnsiTheme="minorHAnsi" w:cstheme="minorHAnsi"/>
          <w:sz w:val="24"/>
          <w:szCs w:val="24"/>
        </w:rPr>
        <w:t>Marine Structures: Types include control dams / weirs (includes embankments), locks and marine rails, wharves and docks, walls, navigation channels, and breakwaters. Components include, but not limited to, walls, piers, abutments, sills, spillways, gates, valves, decks, channel beds and banks, operating systems and anchoring and float systems.</w:t>
      </w:r>
    </w:p>
    <w:p w:rsidR="00D818EE" w:rsidRPr="00C90AAE" w:rsidRDefault="00D818EE" w:rsidP="00D818EE">
      <w:pPr>
        <w:pStyle w:val="ListParagraph"/>
        <w:numPr>
          <w:ilvl w:val="0"/>
          <w:numId w:val="2"/>
        </w:numPr>
        <w:autoSpaceDE/>
        <w:autoSpaceDN/>
        <w:adjustRightInd/>
        <w:spacing w:after="60"/>
        <w:ind w:left="714" w:hanging="357"/>
        <w:rPr>
          <w:rFonts w:asciiTheme="minorHAnsi" w:hAnsiTheme="minorHAnsi" w:cstheme="minorHAnsi"/>
          <w:sz w:val="24"/>
          <w:szCs w:val="24"/>
        </w:rPr>
      </w:pPr>
      <w:r w:rsidRPr="00C90AAE">
        <w:rPr>
          <w:rFonts w:asciiTheme="minorHAnsi" w:hAnsiTheme="minorHAnsi" w:cstheme="minorHAnsi"/>
          <w:sz w:val="24"/>
          <w:szCs w:val="24"/>
        </w:rPr>
        <w:lastRenderedPageBreak/>
        <w:t>Utilities: Asset types include water, wastewater, telecommunications and fueling facilities and systems. Components include, but not limited to, water supply, treatment, storage, and distribution systems and facilities; wastewater collection, treatment systems and facilities; telecommunication repeater towers; underground storage tanks and fuel systems.</w:t>
      </w:r>
    </w:p>
    <w:p w:rsidR="00D818EE" w:rsidRPr="00C90AAE" w:rsidRDefault="00D818EE" w:rsidP="00D818EE">
      <w:pPr>
        <w:pStyle w:val="ListParagraph"/>
        <w:numPr>
          <w:ilvl w:val="0"/>
          <w:numId w:val="2"/>
        </w:numPr>
        <w:autoSpaceDE/>
        <w:autoSpaceDN/>
        <w:adjustRightInd/>
        <w:spacing w:after="60"/>
        <w:ind w:left="714" w:hanging="357"/>
        <w:rPr>
          <w:rFonts w:asciiTheme="minorHAnsi" w:hAnsiTheme="minorHAnsi" w:cstheme="minorHAnsi"/>
          <w:sz w:val="24"/>
          <w:szCs w:val="24"/>
        </w:rPr>
      </w:pPr>
      <w:r w:rsidRPr="00C90AAE">
        <w:rPr>
          <w:rFonts w:asciiTheme="minorHAnsi" w:hAnsiTheme="minorHAnsi" w:cstheme="minorHAnsi"/>
          <w:sz w:val="24"/>
          <w:szCs w:val="24"/>
        </w:rPr>
        <w:t>Grounds: Types include campgrounds, day-use areas (viewpoints), parking areas, general grounds, and trails. Components include, but not limited to, turf areas, surfaces, sidewalks, trails, parking lots, curbs, campsites, fences and drainage.</w:t>
      </w:r>
    </w:p>
    <w:p w:rsidR="00D818EE" w:rsidRPr="00C90AAE" w:rsidRDefault="00D818EE" w:rsidP="00D818EE">
      <w:pPr>
        <w:spacing w:after="0" w:line="240" w:lineRule="auto"/>
        <w:rPr>
          <w:sz w:val="24"/>
          <w:szCs w:val="24"/>
        </w:rPr>
      </w:pPr>
    </w:p>
    <w:p w:rsidR="00D818EE" w:rsidRPr="00C90AAE" w:rsidRDefault="00D818EE" w:rsidP="00D818EE">
      <w:pPr>
        <w:spacing w:after="0" w:line="240" w:lineRule="auto"/>
        <w:rPr>
          <w:sz w:val="24"/>
          <w:szCs w:val="24"/>
        </w:rPr>
      </w:pPr>
      <w:r w:rsidRPr="00C90AAE">
        <w:rPr>
          <w:sz w:val="24"/>
          <w:szCs w:val="24"/>
        </w:rPr>
        <w:t>Exclusions</w:t>
      </w:r>
    </w:p>
    <w:p w:rsidR="00D818EE" w:rsidRPr="00C90AAE" w:rsidRDefault="00D818EE" w:rsidP="00D818EE">
      <w:pPr>
        <w:spacing w:after="0" w:line="240" w:lineRule="auto"/>
        <w:rPr>
          <w:sz w:val="24"/>
          <w:szCs w:val="24"/>
        </w:rPr>
      </w:pPr>
      <w:r w:rsidRPr="00C90AAE">
        <w:rPr>
          <w:sz w:val="24"/>
          <w:szCs w:val="24"/>
        </w:rPr>
        <w:t xml:space="preserve">The Review will not include movable assets such as fleet, heavy equipment and boats, intangible capital assets such as software, equipment such as computers and IT infrastructure, heritage vessels or specialty assets such as educational tools, exhibits, in-situ archaeological resources, archaeology collections, historic objects, and reproductions collections. Limited data will be collected on minor buildings such as storage sheds and small campground buildings, small day-use areas, parking lots and roadside pull-offs, general grounds, golf courses, signs, monuments and plaques. </w:t>
      </w:r>
    </w:p>
    <w:p w:rsidR="00313083" w:rsidRPr="00C90AAE" w:rsidRDefault="00A05D22"/>
    <w:sectPr w:rsidR="00313083" w:rsidRPr="00C90AA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22" w:rsidRDefault="00A05D22" w:rsidP="00A05D22">
      <w:pPr>
        <w:spacing w:after="0" w:line="240" w:lineRule="auto"/>
      </w:pPr>
      <w:r>
        <w:separator/>
      </w:r>
    </w:p>
  </w:endnote>
  <w:endnote w:type="continuationSeparator" w:id="0">
    <w:p w:rsidR="00A05D22" w:rsidRDefault="00A05D22" w:rsidP="00A0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22" w:rsidRPr="00A05D22" w:rsidRDefault="00A05D22" w:rsidP="00A05D22">
    <w:pPr>
      <w:pStyle w:val="BodyText"/>
      <w:jc w:val="center"/>
      <w:rPr>
        <w:lang w:val="fr-CA"/>
      </w:rPr>
    </w:pPr>
    <w:r w:rsidRPr="00FB48E5">
      <w:rPr>
        <w:rFonts w:ascii="Arial" w:hAnsi="Arial"/>
        <w:b/>
        <w:sz w:val="16"/>
        <w:lang w:val="fr-CA"/>
      </w:rPr>
      <w:t xml:space="preserve">Page </w:t>
    </w:r>
    <w:r>
      <w:rPr>
        <w:rFonts w:ascii="Arial" w:hAnsi="Arial"/>
        <w:b/>
        <w:sz w:val="16"/>
      </w:rPr>
      <w:fldChar w:fldCharType="begin"/>
    </w:r>
    <w:r w:rsidRPr="00FB48E5">
      <w:rPr>
        <w:rFonts w:ascii="Arial" w:hAnsi="Arial"/>
        <w:b/>
        <w:sz w:val="16"/>
        <w:lang w:val="fr-CA"/>
      </w:rPr>
      <w:instrText>page  \* MERGEFORMAT</w:instrText>
    </w:r>
    <w:r>
      <w:rPr>
        <w:rFonts w:ascii="Arial" w:hAnsi="Arial"/>
        <w:b/>
        <w:sz w:val="16"/>
      </w:rPr>
      <w:fldChar w:fldCharType="separate"/>
    </w:r>
    <w:r>
      <w:rPr>
        <w:rFonts w:ascii="Arial" w:hAnsi="Arial"/>
        <w:b/>
        <w:noProof/>
        <w:sz w:val="16"/>
        <w:lang w:val="fr-CA"/>
      </w:rPr>
      <w:t>1</w:t>
    </w:r>
    <w:r>
      <w:rPr>
        <w:rFonts w:ascii="Arial" w:hAnsi="Arial"/>
        <w:b/>
        <w:sz w:val="16"/>
      </w:rPr>
      <w:fldChar w:fldCharType="end"/>
    </w:r>
    <w:r w:rsidRPr="00FB48E5">
      <w:rPr>
        <w:rFonts w:ascii="Arial" w:hAnsi="Arial"/>
        <w:b/>
        <w:sz w:val="16"/>
        <w:lang w:val="fr-CA"/>
      </w:rPr>
      <w:t xml:space="preserve"> of - de </w:t>
    </w:r>
    <w:r>
      <w:rPr>
        <w:rFonts w:ascii="Arial" w:hAnsi="Arial"/>
        <w:b/>
        <w:sz w:val="16"/>
      </w:rPr>
      <w:fldChar w:fldCharType="begin"/>
    </w:r>
    <w:r w:rsidRPr="00FB48E5">
      <w:rPr>
        <w:rFonts w:ascii="Arial" w:hAnsi="Arial"/>
        <w:b/>
        <w:sz w:val="16"/>
        <w:lang w:val="fr-CA"/>
      </w:rPr>
      <w:instrText>numpages  \* MERGEFORMAT</w:instrText>
    </w:r>
    <w:r>
      <w:rPr>
        <w:rFonts w:ascii="Arial" w:hAnsi="Arial"/>
        <w:b/>
        <w:sz w:val="16"/>
      </w:rPr>
      <w:fldChar w:fldCharType="separate"/>
    </w:r>
    <w:r>
      <w:rPr>
        <w:rFonts w:ascii="Arial" w:hAnsi="Arial"/>
        <w:b/>
        <w:noProof/>
        <w:sz w:val="16"/>
        <w:lang w:val="fr-CA"/>
      </w:rPr>
      <w:t>2</w:t>
    </w:r>
    <w:r>
      <w:rPr>
        <w:rFonts w:ascii="Arial" w:hAnsi="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22" w:rsidRDefault="00A05D22" w:rsidP="00A05D22">
      <w:pPr>
        <w:spacing w:after="0" w:line="240" w:lineRule="auto"/>
      </w:pPr>
      <w:r>
        <w:separator/>
      </w:r>
    </w:p>
  </w:footnote>
  <w:footnote w:type="continuationSeparator" w:id="0">
    <w:p w:rsidR="00A05D22" w:rsidRDefault="00A05D22" w:rsidP="00A05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22" w:rsidRPr="0006094D" w:rsidRDefault="00A05D22" w:rsidP="00A05D22">
    <w:pPr>
      <w:tabs>
        <w:tab w:val="left" w:pos="360"/>
        <w:tab w:val="left" w:pos="3402"/>
        <w:tab w:val="left" w:pos="5954"/>
      </w:tabs>
      <w:overflowPunct w:val="0"/>
      <w:autoSpaceDE w:val="0"/>
      <w:autoSpaceDN w:val="0"/>
      <w:adjustRightInd w:val="0"/>
      <w:ind w:left="426" w:right="-432" w:hanging="426"/>
      <w:textAlignment w:val="baseline"/>
      <w:rPr>
        <w:rFonts w:ascii="Verdana" w:hAnsi="Verdana" w:cs="Times New Roman"/>
        <w:sz w:val="24"/>
        <w:szCs w:val="20"/>
        <w:lang w:val="fr-CA" w:eastAsia="en-CA"/>
      </w:rPr>
    </w:pPr>
    <w:r w:rsidRPr="0006094D">
      <w:rPr>
        <w:rFonts w:ascii="Verdana" w:hAnsi="Verdana" w:cs="Times New Roman"/>
        <w:sz w:val="14"/>
        <w:szCs w:val="20"/>
        <w:lang w:val="fr-CA" w:eastAsia="en-CA"/>
      </w:rPr>
      <w:t xml:space="preserve">N° de l'invitation - </w:t>
    </w:r>
    <w:proofErr w:type="spellStart"/>
    <w:r w:rsidRPr="0006094D">
      <w:rPr>
        <w:rFonts w:ascii="Verdana" w:hAnsi="Verdana" w:cs="Times New Roman"/>
        <w:sz w:val="14"/>
        <w:szCs w:val="20"/>
        <w:lang w:val="fr-CA" w:eastAsia="en-CA"/>
      </w:rPr>
      <w:t>Solicitation</w:t>
    </w:r>
    <w:proofErr w:type="spellEnd"/>
    <w:r w:rsidRPr="0006094D">
      <w:rPr>
        <w:rFonts w:ascii="Verdana" w:hAnsi="Verdana" w:cs="Times New Roman"/>
        <w:sz w:val="14"/>
        <w:szCs w:val="20"/>
        <w:lang w:val="fr-CA" w:eastAsia="en-CA"/>
      </w:rPr>
      <w:t xml:space="preserve"> No.</w:t>
    </w:r>
    <w:r w:rsidRPr="0006094D">
      <w:rPr>
        <w:rFonts w:ascii="Verdana" w:hAnsi="Verdana" w:cs="Times New Roman"/>
        <w:sz w:val="14"/>
        <w:szCs w:val="20"/>
        <w:lang w:val="fr-CA" w:eastAsia="en-CA"/>
      </w:rPr>
      <w:tab/>
      <w:t xml:space="preserve">N° de la </w:t>
    </w:r>
    <w:proofErr w:type="spellStart"/>
    <w:r w:rsidRPr="0006094D">
      <w:rPr>
        <w:rFonts w:ascii="Verdana" w:hAnsi="Verdana" w:cs="Times New Roman"/>
        <w:sz w:val="14"/>
        <w:szCs w:val="20"/>
        <w:lang w:val="fr-CA" w:eastAsia="en-CA"/>
      </w:rPr>
      <w:t>modif</w:t>
    </w:r>
    <w:proofErr w:type="spellEnd"/>
    <w:r w:rsidRPr="0006094D">
      <w:rPr>
        <w:rFonts w:ascii="Verdana" w:hAnsi="Verdana" w:cs="Times New Roman"/>
        <w:sz w:val="14"/>
        <w:szCs w:val="20"/>
        <w:lang w:val="fr-CA" w:eastAsia="en-CA"/>
      </w:rPr>
      <w:t xml:space="preserve"> - </w:t>
    </w:r>
    <w:proofErr w:type="spellStart"/>
    <w:r w:rsidRPr="0006094D">
      <w:rPr>
        <w:rFonts w:ascii="Verdana" w:hAnsi="Verdana" w:cs="Times New Roman"/>
        <w:sz w:val="14"/>
        <w:szCs w:val="20"/>
        <w:lang w:val="fr-CA" w:eastAsia="en-CA"/>
      </w:rPr>
      <w:t>Amd</w:t>
    </w:r>
    <w:proofErr w:type="spellEnd"/>
    <w:r w:rsidRPr="0006094D">
      <w:rPr>
        <w:rFonts w:ascii="Verdana" w:hAnsi="Verdana" w:cs="Times New Roman"/>
        <w:sz w:val="14"/>
        <w:szCs w:val="20"/>
        <w:lang w:val="fr-CA" w:eastAsia="en-CA"/>
      </w:rPr>
      <w:t xml:space="preserve">. No. </w:t>
    </w:r>
    <w:r w:rsidRPr="0006094D">
      <w:rPr>
        <w:rFonts w:ascii="Verdana" w:hAnsi="Verdana" w:cs="Times New Roman"/>
        <w:sz w:val="14"/>
        <w:szCs w:val="20"/>
        <w:lang w:val="fr-CA" w:eastAsia="en-CA"/>
      </w:rPr>
      <w:tab/>
      <w:t xml:space="preserve">Id de l'acheteur  - </w:t>
    </w:r>
    <w:proofErr w:type="spellStart"/>
    <w:r w:rsidRPr="0006094D">
      <w:rPr>
        <w:rFonts w:ascii="Verdana" w:hAnsi="Verdana" w:cs="Times New Roman"/>
        <w:sz w:val="14"/>
        <w:szCs w:val="20"/>
        <w:lang w:val="fr-CA" w:eastAsia="en-CA"/>
      </w:rPr>
      <w:t>Buyer</w:t>
    </w:r>
    <w:proofErr w:type="spellEnd"/>
    <w:r w:rsidRPr="0006094D">
      <w:rPr>
        <w:rFonts w:ascii="Verdana" w:hAnsi="Verdana" w:cs="Times New Roman"/>
        <w:sz w:val="14"/>
        <w:szCs w:val="20"/>
        <w:lang w:val="fr-CA" w:eastAsia="en-CA"/>
      </w:rPr>
      <w:t xml:space="preserve"> ID </w:t>
    </w:r>
  </w:p>
  <w:p w:rsidR="00A05D22" w:rsidRPr="00A05D22" w:rsidRDefault="00A05D22" w:rsidP="00A05D22">
    <w:pPr>
      <w:tabs>
        <w:tab w:val="left" w:pos="0"/>
        <w:tab w:val="left" w:pos="284"/>
        <w:tab w:val="left" w:pos="3402"/>
        <w:tab w:val="left" w:pos="5954"/>
      </w:tabs>
      <w:overflowPunct w:val="0"/>
      <w:autoSpaceDE w:val="0"/>
      <w:autoSpaceDN w:val="0"/>
      <w:adjustRightInd w:val="0"/>
      <w:textAlignment w:val="baseline"/>
      <w:rPr>
        <w:rFonts w:ascii="Verdana" w:hAnsi="Verdana" w:cs="Times New Roman"/>
        <w:sz w:val="20"/>
        <w:szCs w:val="20"/>
        <w:lang w:val="fr-CA" w:eastAsia="en-CA"/>
      </w:rPr>
    </w:pPr>
    <w:r w:rsidRPr="00A05D22">
      <w:rPr>
        <w:rFonts w:ascii="Verdana" w:hAnsi="Verdana" w:cs="Times New Roman"/>
        <w:sz w:val="20"/>
        <w:szCs w:val="20"/>
        <w:lang w:val="fr-CA" w:eastAsia="en-CA"/>
      </w:rPr>
      <w:t>5P300-17-5359</w:t>
    </w:r>
    <w:r w:rsidRPr="00A05D22">
      <w:rPr>
        <w:rFonts w:ascii="Verdana" w:hAnsi="Verdana" w:cs="Times New Roman"/>
        <w:sz w:val="20"/>
        <w:szCs w:val="20"/>
        <w:lang w:val="fr-CA" w:eastAsia="en-CA"/>
      </w:rPr>
      <w:tab/>
    </w:r>
    <w:r w:rsidRPr="00A05D22">
      <w:rPr>
        <w:rFonts w:ascii="Verdana" w:hAnsi="Verdana" w:cs="Times New Roman"/>
        <w:sz w:val="20"/>
        <w:szCs w:val="20"/>
        <w:lang w:val="fr-CA" w:eastAsia="en-CA"/>
      </w:rPr>
      <w:tab/>
    </w:r>
    <w:proofErr w:type="spellStart"/>
    <w:r w:rsidRPr="00A05D22">
      <w:rPr>
        <w:rFonts w:ascii="Verdana" w:hAnsi="Verdana" w:cs="Times New Roman"/>
        <w:sz w:val="20"/>
        <w:szCs w:val="20"/>
        <w:lang w:val="fr-CA" w:eastAsia="en-CA"/>
      </w:rPr>
      <w:t>Colleen</w:t>
    </w:r>
    <w:proofErr w:type="spellEnd"/>
    <w:r w:rsidRPr="00A05D22">
      <w:rPr>
        <w:rFonts w:ascii="Verdana" w:hAnsi="Verdana" w:cs="Times New Roman"/>
        <w:sz w:val="20"/>
        <w:szCs w:val="20"/>
        <w:lang w:val="fr-CA" w:eastAsia="en-CA"/>
      </w:rPr>
      <w:t xml:space="preserve"> </w:t>
    </w:r>
    <w:proofErr w:type="spellStart"/>
    <w:r w:rsidRPr="00A05D22">
      <w:rPr>
        <w:rFonts w:ascii="Verdana" w:hAnsi="Verdana" w:cs="Times New Roman"/>
        <w:sz w:val="20"/>
        <w:szCs w:val="20"/>
        <w:lang w:val="fr-CA" w:eastAsia="en-CA"/>
      </w:rPr>
      <w:t>Sheehan</w:t>
    </w:r>
    <w:proofErr w:type="spellEnd"/>
  </w:p>
  <w:p w:rsidR="00A05D22" w:rsidRPr="0006094D" w:rsidRDefault="00A05D22" w:rsidP="00A05D22">
    <w:pPr>
      <w:tabs>
        <w:tab w:val="left" w:pos="284"/>
        <w:tab w:val="left" w:pos="3402"/>
        <w:tab w:val="left" w:pos="5954"/>
      </w:tabs>
      <w:overflowPunct w:val="0"/>
      <w:autoSpaceDE w:val="0"/>
      <w:autoSpaceDN w:val="0"/>
      <w:adjustRightInd w:val="0"/>
      <w:spacing w:after="0"/>
      <w:textAlignment w:val="baseline"/>
      <w:rPr>
        <w:rFonts w:ascii="Verdana" w:hAnsi="Verdana" w:cs="Times New Roman"/>
        <w:sz w:val="24"/>
        <w:szCs w:val="20"/>
        <w:lang w:val="fr-CA" w:eastAsia="en-CA"/>
      </w:rPr>
    </w:pPr>
    <w:r w:rsidRPr="0006094D">
      <w:rPr>
        <w:rFonts w:ascii="Verdana" w:hAnsi="Verdana" w:cs="Times New Roman"/>
        <w:sz w:val="14"/>
        <w:szCs w:val="20"/>
        <w:lang w:val="fr-CA" w:eastAsia="en-CA"/>
      </w:rPr>
      <w:t>.</w:t>
    </w:r>
    <w:r w:rsidRPr="0006094D">
      <w:rPr>
        <w:rFonts w:ascii="Verdana" w:hAnsi="Verdana" w:cs="Times New Roman"/>
        <w:sz w:val="14"/>
        <w:szCs w:val="20"/>
        <w:lang w:val="fr-CA" w:eastAsia="en-CA"/>
      </w:rPr>
      <w:tab/>
    </w:r>
    <w:r w:rsidRPr="0006094D">
      <w:rPr>
        <w:rFonts w:ascii="Verdana" w:hAnsi="Verdana" w:cs="Times New Roman"/>
        <w:sz w:val="14"/>
        <w:szCs w:val="20"/>
        <w:lang w:val="fr-CA" w:eastAsia="en-CA"/>
      </w:rPr>
      <w:tab/>
      <w:t xml:space="preserve"> </w:t>
    </w:r>
  </w:p>
  <w:p w:rsidR="00A05D22" w:rsidRPr="0006094D" w:rsidRDefault="00A05D22" w:rsidP="00A05D22">
    <w:pPr>
      <w:tabs>
        <w:tab w:val="left" w:pos="284"/>
        <w:tab w:val="left" w:pos="3402"/>
        <w:tab w:val="left" w:pos="6200"/>
      </w:tabs>
      <w:overflowPunct w:val="0"/>
      <w:autoSpaceDE w:val="0"/>
      <w:autoSpaceDN w:val="0"/>
      <w:adjustRightInd w:val="0"/>
      <w:spacing w:after="0"/>
      <w:jc w:val="center"/>
      <w:textAlignment w:val="baseline"/>
      <w:rPr>
        <w:rFonts w:ascii="Verdana" w:hAnsi="Verdana" w:cs="Times New Roman"/>
        <w:sz w:val="24"/>
        <w:szCs w:val="20"/>
        <w:lang w:val="fr-CA" w:eastAsia="en-CA"/>
      </w:rPr>
    </w:pPr>
    <w:r w:rsidRPr="0006094D">
      <w:rPr>
        <w:rFonts w:ascii="Verdana" w:hAnsi="Verdana" w:cs="Times New Roman"/>
        <w:sz w:val="16"/>
        <w:szCs w:val="20"/>
        <w:lang w:val="fr-CA" w:eastAsia="en-CA"/>
      </w:rPr>
      <w:t xml:space="preserve">National </w:t>
    </w:r>
    <w:proofErr w:type="spellStart"/>
    <w:r w:rsidRPr="0006094D">
      <w:rPr>
        <w:rFonts w:ascii="Verdana" w:hAnsi="Verdana" w:cs="Times New Roman"/>
        <w:sz w:val="16"/>
        <w:szCs w:val="20"/>
        <w:lang w:val="fr-CA" w:eastAsia="en-CA"/>
      </w:rPr>
      <w:t>Asset</w:t>
    </w:r>
    <w:proofErr w:type="spellEnd"/>
    <w:r w:rsidRPr="0006094D">
      <w:rPr>
        <w:rFonts w:ascii="Verdana" w:hAnsi="Verdana" w:cs="Times New Roman"/>
        <w:sz w:val="16"/>
        <w:szCs w:val="20"/>
        <w:lang w:val="fr-CA" w:eastAsia="en-CA"/>
      </w:rPr>
      <w:t xml:space="preserve"> </w:t>
    </w:r>
    <w:proofErr w:type="spellStart"/>
    <w:r w:rsidRPr="0006094D">
      <w:rPr>
        <w:rFonts w:ascii="Verdana" w:hAnsi="Verdana" w:cs="Times New Roman"/>
        <w:sz w:val="16"/>
        <w:szCs w:val="20"/>
        <w:lang w:val="fr-CA" w:eastAsia="en-CA"/>
      </w:rPr>
      <w:t>Review</w:t>
    </w:r>
    <w:proofErr w:type="spellEnd"/>
    <w:r w:rsidRPr="0006094D">
      <w:rPr>
        <w:rFonts w:ascii="Verdana" w:hAnsi="Verdana" w:cs="Times New Roman"/>
        <w:sz w:val="16"/>
        <w:szCs w:val="20"/>
        <w:lang w:val="fr-CA" w:eastAsia="en-CA"/>
      </w:rPr>
      <w:t xml:space="preserve"> 2018-Parks Canada</w:t>
    </w:r>
  </w:p>
  <w:p w:rsidR="00A05D22" w:rsidRDefault="00A05D22" w:rsidP="00A05D22">
    <w:pPr>
      <w:pStyle w:val="Header"/>
    </w:pPr>
    <w:r w:rsidRPr="002074D2">
      <w:rPr>
        <w:noProof/>
        <w:lang w:eastAsia="en-CA"/>
      </w:rPr>
      <w:drawing>
        <wp:inline distT="0" distB="0" distL="0" distR="0">
          <wp:extent cx="5852160" cy="106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3" t="-9723"/>
                  <a:stretch>
                    <a:fillRect/>
                  </a:stretch>
                </pic:blipFill>
                <pic:spPr bwMode="auto">
                  <a:xfrm>
                    <a:off x="0" y="0"/>
                    <a:ext cx="5852160" cy="106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C09FD"/>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B381813"/>
    <w:multiLevelType w:val="hybridMultilevel"/>
    <w:tmpl w:val="81C845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EE"/>
    <w:rsid w:val="0001315C"/>
    <w:rsid w:val="0073314C"/>
    <w:rsid w:val="00913C53"/>
    <w:rsid w:val="00A05D22"/>
    <w:rsid w:val="00C90AAE"/>
    <w:rsid w:val="00D818EE"/>
    <w:rsid w:val="00F255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E3FF6-9AF5-47CF-87C8-99BDAA6C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EE"/>
  </w:style>
  <w:style w:type="paragraph" w:styleId="Heading1">
    <w:name w:val="heading 1"/>
    <w:basedOn w:val="Normal"/>
    <w:next w:val="Normal"/>
    <w:link w:val="Heading1Char"/>
    <w:uiPriority w:val="9"/>
    <w:qFormat/>
    <w:rsid w:val="00D818E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8EE"/>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8EE"/>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818E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18E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818E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18E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18E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18E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8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18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8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818E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818E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818E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818E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818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18E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818EE"/>
    <w:pPr>
      <w:autoSpaceDE w:val="0"/>
      <w:autoSpaceDN w:val="0"/>
      <w:adjustRightInd w:val="0"/>
      <w:spacing w:after="0" w:line="276" w:lineRule="auto"/>
      <w:ind w:left="720"/>
      <w:contextualSpacing/>
    </w:pPr>
    <w:rPr>
      <w:rFonts w:ascii="Calibri" w:eastAsia="Calibri" w:hAnsi="Calibri" w:cs="Times New Roman"/>
      <w:lang w:eastAsia="en-CA"/>
    </w:rPr>
  </w:style>
  <w:style w:type="paragraph" w:styleId="Header">
    <w:name w:val="header"/>
    <w:basedOn w:val="Normal"/>
    <w:link w:val="HeaderChar"/>
    <w:uiPriority w:val="99"/>
    <w:unhideWhenUsed/>
    <w:rsid w:val="00A05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D22"/>
  </w:style>
  <w:style w:type="paragraph" w:styleId="Footer">
    <w:name w:val="footer"/>
    <w:basedOn w:val="Normal"/>
    <w:link w:val="FooterChar"/>
    <w:uiPriority w:val="99"/>
    <w:unhideWhenUsed/>
    <w:rsid w:val="00A05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D22"/>
  </w:style>
  <w:style w:type="paragraph" w:styleId="BodyText">
    <w:name w:val="Body Text"/>
    <w:basedOn w:val="Normal"/>
    <w:link w:val="BodyTextChar"/>
    <w:semiHidden/>
    <w:rsid w:val="00A05D2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n-CA"/>
    </w:rPr>
  </w:style>
  <w:style w:type="character" w:customStyle="1" w:styleId="BodyTextChar">
    <w:name w:val="Body Text Char"/>
    <w:basedOn w:val="DefaultParagraphFont"/>
    <w:link w:val="BodyText"/>
    <w:semiHidden/>
    <w:rsid w:val="00A05D22"/>
    <w:rPr>
      <w:rFonts w:ascii="Times New Roman" w:eastAsia="Times New Roman" w:hAnsi="Times New Roman" w:cs="Times New Roman"/>
      <w:color w:val="000000"/>
      <w:sz w:val="24"/>
      <w:szCs w:val="20"/>
      <w:lang w:val="en-US" w:eastAsia="en-CA"/>
    </w:rPr>
  </w:style>
  <w:style w:type="paragraph" w:styleId="TOC1">
    <w:name w:val="toc 1"/>
    <w:basedOn w:val="Normal"/>
    <w:next w:val="Normal"/>
    <w:autoRedefine/>
    <w:uiPriority w:val="39"/>
    <w:unhideWhenUsed/>
    <w:rsid w:val="00A05D22"/>
    <w:pPr>
      <w:tabs>
        <w:tab w:val="right" w:leader="dot" w:pos="9350"/>
      </w:tabs>
      <w:spacing w:before="120" w:after="120" w:line="240" w:lineRule="auto"/>
    </w:pPr>
    <w:rPr>
      <w:rFonts w:ascii="Calibri" w:eastAsia="Times New Roman" w:hAnsi="Calibri" w:cs="Calibri"/>
      <w:bCs/>
      <w:cap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Parks Canada Agency</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Contois</dc:creator>
  <cp:keywords/>
  <dc:description/>
  <cp:lastModifiedBy>Kathryn Contois</cp:lastModifiedBy>
  <cp:revision>4</cp:revision>
  <dcterms:created xsi:type="dcterms:W3CDTF">2017-07-18T20:10:00Z</dcterms:created>
  <dcterms:modified xsi:type="dcterms:W3CDTF">2017-08-03T12:56:00Z</dcterms:modified>
</cp:coreProperties>
</file>