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C7" w:rsidRPr="00000822" w:rsidRDefault="00B363C7" w:rsidP="00B363C7">
      <w:pPr>
        <w:pStyle w:val="DefaultText"/>
        <w:rPr>
          <w:rFonts w:asciiTheme="minorHAnsi" w:hAnsiTheme="minorHAnsi" w:cstheme="minorHAnsi"/>
          <w:b/>
          <w:bCs/>
        </w:rPr>
      </w:pPr>
    </w:p>
    <w:p w:rsidR="00B24B16" w:rsidRPr="00000822" w:rsidRDefault="00B24B16" w:rsidP="00C9187E">
      <w:pPr>
        <w:pStyle w:val="DefaultText"/>
        <w:spacing w:after="0"/>
        <w:jc w:val="center"/>
      </w:pPr>
      <w:r w:rsidRPr="00000822">
        <w:rPr>
          <w:b/>
        </w:rPr>
        <w:t>TABLE DES MATIÈRES</w:t>
      </w:r>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r w:rsidRPr="00731813">
        <w:rPr>
          <w:rFonts w:asciiTheme="minorHAnsi" w:hAnsiTheme="minorHAnsi" w:cstheme="minorHAnsi"/>
        </w:rPr>
        <w:fldChar w:fldCharType="begin"/>
      </w:r>
      <w:r w:rsidR="00232778" w:rsidRPr="00000822">
        <w:rPr>
          <w:rFonts w:asciiTheme="minorHAnsi" w:hAnsiTheme="minorHAnsi" w:cstheme="minorHAnsi"/>
        </w:rPr>
        <w:instrText xml:space="preserve"> TOC \h \z \t "Modèles En-tête 1,1,Modèles En-tête 2,2" </w:instrText>
      </w:r>
      <w:r w:rsidRPr="00731813">
        <w:rPr>
          <w:rFonts w:asciiTheme="minorHAnsi" w:hAnsiTheme="minorHAnsi" w:cstheme="minorHAnsi"/>
        </w:rPr>
        <w:fldChar w:fldCharType="separate"/>
      </w:r>
      <w:hyperlink w:anchor="_Toc413070253" w:history="1">
        <w:r w:rsidR="00771EE3" w:rsidRPr="00351A9C">
          <w:rPr>
            <w:rStyle w:val="Hyperlink"/>
            <w:noProof/>
          </w:rPr>
          <w:t>PARTIE 1 – RENSEIGNEMENTS GÉNÉRAUX</w:t>
        </w:r>
        <w:r w:rsidR="00771EE3">
          <w:rPr>
            <w:noProof/>
            <w:webHidden/>
          </w:rPr>
          <w:tab/>
        </w:r>
        <w:r>
          <w:rPr>
            <w:noProof/>
            <w:webHidden/>
          </w:rPr>
          <w:fldChar w:fldCharType="begin"/>
        </w:r>
        <w:r w:rsidR="00771EE3">
          <w:rPr>
            <w:noProof/>
            <w:webHidden/>
          </w:rPr>
          <w:instrText xml:space="preserve"> PAGEREF _Toc413070253 \h </w:instrText>
        </w:r>
        <w:r>
          <w:rPr>
            <w:noProof/>
            <w:webHidden/>
          </w:rPr>
        </w:r>
        <w:r>
          <w:rPr>
            <w:noProof/>
            <w:webHidden/>
          </w:rPr>
          <w:fldChar w:fldCharType="separate"/>
        </w:r>
        <w:r w:rsidR="00771EE3">
          <w:rPr>
            <w:noProof/>
            <w:webHidden/>
          </w:rPr>
          <w:t>3</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54" w:history="1">
        <w:r w:rsidR="00771EE3" w:rsidRPr="00351A9C">
          <w:rPr>
            <w:rStyle w:val="Hyperlink"/>
            <w:noProof/>
          </w:rPr>
          <w:t>1.1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Introduction</w:t>
        </w:r>
        <w:r w:rsidR="00771EE3">
          <w:rPr>
            <w:noProof/>
            <w:webHidden/>
          </w:rPr>
          <w:tab/>
        </w:r>
        <w:r>
          <w:rPr>
            <w:noProof/>
            <w:webHidden/>
          </w:rPr>
          <w:fldChar w:fldCharType="begin"/>
        </w:r>
        <w:r w:rsidR="00771EE3">
          <w:rPr>
            <w:noProof/>
            <w:webHidden/>
          </w:rPr>
          <w:instrText xml:space="preserve"> PAGEREF _Toc413070254 \h </w:instrText>
        </w:r>
        <w:r>
          <w:rPr>
            <w:noProof/>
            <w:webHidden/>
          </w:rPr>
        </w:r>
        <w:r>
          <w:rPr>
            <w:noProof/>
            <w:webHidden/>
          </w:rPr>
          <w:fldChar w:fldCharType="separate"/>
        </w:r>
        <w:r w:rsidR="00771EE3">
          <w:rPr>
            <w:noProof/>
            <w:webHidden/>
          </w:rPr>
          <w:t>3</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55" w:history="1">
        <w:r w:rsidR="00771EE3" w:rsidRPr="00351A9C">
          <w:rPr>
            <w:rStyle w:val="Hyperlink"/>
            <w:noProof/>
          </w:rPr>
          <w:t>1.2</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Résumé</w:t>
        </w:r>
        <w:r w:rsidR="00771EE3">
          <w:rPr>
            <w:noProof/>
            <w:webHidden/>
          </w:rPr>
          <w:tab/>
        </w:r>
        <w:r>
          <w:rPr>
            <w:noProof/>
            <w:webHidden/>
          </w:rPr>
          <w:fldChar w:fldCharType="begin"/>
        </w:r>
        <w:r w:rsidR="00771EE3">
          <w:rPr>
            <w:noProof/>
            <w:webHidden/>
          </w:rPr>
          <w:instrText xml:space="preserve"> PAGEREF _Toc413070255 \h </w:instrText>
        </w:r>
        <w:r>
          <w:rPr>
            <w:noProof/>
            <w:webHidden/>
          </w:rPr>
        </w:r>
        <w:r>
          <w:rPr>
            <w:noProof/>
            <w:webHidden/>
          </w:rPr>
          <w:fldChar w:fldCharType="separate"/>
        </w:r>
        <w:r w:rsidR="00771EE3">
          <w:rPr>
            <w:noProof/>
            <w:webHidden/>
          </w:rPr>
          <w:t>3</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56" w:history="1">
        <w:r w:rsidR="00771EE3" w:rsidRPr="00351A9C">
          <w:rPr>
            <w:rStyle w:val="Hyperlink"/>
            <w:noProof/>
          </w:rPr>
          <w:t>1.3</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Exigences relatives à la sécurité</w:t>
        </w:r>
        <w:r w:rsidR="00771EE3">
          <w:rPr>
            <w:noProof/>
            <w:webHidden/>
          </w:rPr>
          <w:tab/>
        </w:r>
        <w:r>
          <w:rPr>
            <w:noProof/>
            <w:webHidden/>
          </w:rPr>
          <w:fldChar w:fldCharType="begin"/>
        </w:r>
        <w:r w:rsidR="00771EE3">
          <w:rPr>
            <w:noProof/>
            <w:webHidden/>
          </w:rPr>
          <w:instrText xml:space="preserve"> PAGEREF _Toc413070256 \h </w:instrText>
        </w:r>
        <w:r>
          <w:rPr>
            <w:noProof/>
            <w:webHidden/>
          </w:rPr>
        </w:r>
        <w:r>
          <w:rPr>
            <w:noProof/>
            <w:webHidden/>
          </w:rPr>
          <w:fldChar w:fldCharType="separate"/>
        </w:r>
        <w:r w:rsidR="00771EE3">
          <w:rPr>
            <w:noProof/>
            <w:webHidden/>
          </w:rPr>
          <w:t>5</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57" w:history="1">
        <w:r w:rsidR="00771EE3" w:rsidRPr="00351A9C">
          <w:rPr>
            <w:rStyle w:val="Hyperlink"/>
            <w:noProof/>
          </w:rPr>
          <w:t>1.4</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Contenu canadien</w:t>
        </w:r>
        <w:r w:rsidR="00771EE3">
          <w:rPr>
            <w:noProof/>
            <w:webHidden/>
          </w:rPr>
          <w:tab/>
        </w:r>
        <w:r>
          <w:rPr>
            <w:noProof/>
            <w:webHidden/>
          </w:rPr>
          <w:fldChar w:fldCharType="begin"/>
        </w:r>
        <w:r w:rsidR="00771EE3">
          <w:rPr>
            <w:noProof/>
            <w:webHidden/>
          </w:rPr>
          <w:instrText xml:space="preserve"> PAGEREF _Toc413070257 \h </w:instrText>
        </w:r>
        <w:r>
          <w:rPr>
            <w:noProof/>
            <w:webHidden/>
          </w:rPr>
        </w:r>
        <w:r>
          <w:rPr>
            <w:noProof/>
            <w:webHidden/>
          </w:rPr>
          <w:fldChar w:fldCharType="separate"/>
        </w:r>
        <w:r w:rsidR="00771EE3">
          <w:rPr>
            <w:noProof/>
            <w:webHidden/>
          </w:rPr>
          <w:t>5</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58" w:history="1">
        <w:r w:rsidR="00771EE3" w:rsidRPr="00351A9C">
          <w:rPr>
            <w:rStyle w:val="Hyperlink"/>
            <w:noProof/>
          </w:rPr>
          <w:t>1.5</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Compte rendu</w:t>
        </w:r>
        <w:r w:rsidR="00771EE3">
          <w:rPr>
            <w:noProof/>
            <w:webHidden/>
          </w:rPr>
          <w:tab/>
        </w:r>
        <w:r>
          <w:rPr>
            <w:noProof/>
            <w:webHidden/>
          </w:rPr>
          <w:fldChar w:fldCharType="begin"/>
        </w:r>
        <w:r w:rsidR="00771EE3">
          <w:rPr>
            <w:noProof/>
            <w:webHidden/>
          </w:rPr>
          <w:instrText xml:space="preserve"> PAGEREF _Toc413070258 \h </w:instrText>
        </w:r>
        <w:r>
          <w:rPr>
            <w:noProof/>
            <w:webHidden/>
          </w:rPr>
        </w:r>
        <w:r>
          <w:rPr>
            <w:noProof/>
            <w:webHidden/>
          </w:rPr>
          <w:fldChar w:fldCharType="separate"/>
        </w:r>
        <w:r w:rsidR="00771EE3">
          <w:rPr>
            <w:noProof/>
            <w:webHidden/>
          </w:rPr>
          <w:t>5</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59" w:history="1">
        <w:r w:rsidR="00771EE3" w:rsidRPr="00351A9C">
          <w:rPr>
            <w:rStyle w:val="Hyperlink"/>
            <w:noProof/>
          </w:rPr>
          <w:t>PARTIE 2 – INSTRUCTIONS À L’INTENTION DES FOURNISSEURS</w:t>
        </w:r>
        <w:r w:rsidR="00771EE3">
          <w:rPr>
            <w:noProof/>
            <w:webHidden/>
          </w:rPr>
          <w:tab/>
        </w:r>
        <w:r>
          <w:rPr>
            <w:noProof/>
            <w:webHidden/>
          </w:rPr>
          <w:fldChar w:fldCharType="begin"/>
        </w:r>
        <w:r w:rsidR="00771EE3">
          <w:rPr>
            <w:noProof/>
            <w:webHidden/>
          </w:rPr>
          <w:instrText xml:space="preserve"> PAGEREF _Toc413070259 \h </w:instrText>
        </w:r>
        <w:r>
          <w:rPr>
            <w:noProof/>
            <w:webHidden/>
          </w:rPr>
        </w:r>
        <w:r>
          <w:rPr>
            <w:noProof/>
            <w:webHidden/>
          </w:rPr>
          <w:fldChar w:fldCharType="separate"/>
        </w:r>
        <w:r w:rsidR="00771EE3">
          <w:rPr>
            <w:noProof/>
            <w:webHidden/>
          </w:rPr>
          <w:t>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0" w:history="1">
        <w:r w:rsidR="00771EE3" w:rsidRPr="00351A9C">
          <w:rPr>
            <w:rStyle w:val="Hyperlink"/>
            <w:noProof/>
          </w:rPr>
          <w:t>2.1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Instructions, clauses et conditions uniformisées</w:t>
        </w:r>
        <w:r w:rsidR="00771EE3">
          <w:rPr>
            <w:noProof/>
            <w:webHidden/>
          </w:rPr>
          <w:tab/>
        </w:r>
        <w:r>
          <w:rPr>
            <w:noProof/>
            <w:webHidden/>
          </w:rPr>
          <w:fldChar w:fldCharType="begin"/>
        </w:r>
        <w:r w:rsidR="00771EE3">
          <w:rPr>
            <w:noProof/>
            <w:webHidden/>
          </w:rPr>
          <w:instrText xml:space="preserve"> PAGEREF _Toc413070260 \h </w:instrText>
        </w:r>
        <w:r>
          <w:rPr>
            <w:noProof/>
            <w:webHidden/>
          </w:rPr>
        </w:r>
        <w:r>
          <w:rPr>
            <w:noProof/>
            <w:webHidden/>
          </w:rPr>
          <w:fldChar w:fldCharType="separate"/>
        </w:r>
        <w:r w:rsidR="00771EE3">
          <w:rPr>
            <w:noProof/>
            <w:webHidden/>
          </w:rPr>
          <w:t>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1" w:history="1">
        <w:r w:rsidR="00771EE3" w:rsidRPr="00351A9C">
          <w:rPr>
            <w:rStyle w:val="Hyperlink"/>
            <w:noProof/>
          </w:rPr>
          <w:t>2.2</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Présentation des arrangements</w:t>
        </w:r>
        <w:r w:rsidR="00771EE3">
          <w:rPr>
            <w:noProof/>
            <w:webHidden/>
          </w:rPr>
          <w:tab/>
        </w:r>
        <w:r>
          <w:rPr>
            <w:noProof/>
            <w:webHidden/>
          </w:rPr>
          <w:fldChar w:fldCharType="begin"/>
        </w:r>
        <w:r w:rsidR="00771EE3">
          <w:rPr>
            <w:noProof/>
            <w:webHidden/>
          </w:rPr>
          <w:instrText xml:space="preserve"> PAGEREF _Toc413070261 \h </w:instrText>
        </w:r>
        <w:r>
          <w:rPr>
            <w:noProof/>
            <w:webHidden/>
          </w:rPr>
        </w:r>
        <w:r>
          <w:rPr>
            <w:noProof/>
            <w:webHidden/>
          </w:rPr>
          <w:fldChar w:fldCharType="separate"/>
        </w:r>
        <w:r w:rsidR="00771EE3">
          <w:rPr>
            <w:noProof/>
            <w:webHidden/>
          </w:rPr>
          <w:t>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2" w:history="1">
        <w:r w:rsidR="00771EE3" w:rsidRPr="00351A9C">
          <w:rPr>
            <w:rStyle w:val="Hyperlink"/>
            <w:noProof/>
          </w:rPr>
          <w:t>2.3</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Programme de contrats fédéraux pour l’équité en matière d’emploi – Avis</w:t>
        </w:r>
        <w:r w:rsidR="00771EE3">
          <w:rPr>
            <w:noProof/>
            <w:webHidden/>
          </w:rPr>
          <w:tab/>
        </w:r>
        <w:r>
          <w:rPr>
            <w:noProof/>
            <w:webHidden/>
          </w:rPr>
          <w:fldChar w:fldCharType="begin"/>
        </w:r>
        <w:r w:rsidR="00771EE3">
          <w:rPr>
            <w:noProof/>
            <w:webHidden/>
          </w:rPr>
          <w:instrText xml:space="preserve"> PAGEREF _Toc413070262 \h </w:instrText>
        </w:r>
        <w:r>
          <w:rPr>
            <w:noProof/>
            <w:webHidden/>
          </w:rPr>
        </w:r>
        <w:r>
          <w:rPr>
            <w:noProof/>
            <w:webHidden/>
          </w:rPr>
          <w:fldChar w:fldCharType="separate"/>
        </w:r>
        <w:r w:rsidR="00771EE3">
          <w:rPr>
            <w:noProof/>
            <w:webHidden/>
          </w:rPr>
          <w:t>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3" w:history="1">
        <w:r w:rsidR="00771EE3" w:rsidRPr="00351A9C">
          <w:rPr>
            <w:rStyle w:val="Hyperlink"/>
            <w:noProof/>
          </w:rPr>
          <w:t>2.4</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Demandes de renseignements – demande d’arrangements en matière d’approvisionnement</w:t>
        </w:r>
        <w:r w:rsidR="00771EE3">
          <w:rPr>
            <w:noProof/>
            <w:webHidden/>
          </w:rPr>
          <w:tab/>
        </w:r>
        <w:r>
          <w:rPr>
            <w:noProof/>
            <w:webHidden/>
          </w:rPr>
          <w:fldChar w:fldCharType="begin"/>
        </w:r>
        <w:r w:rsidR="00771EE3">
          <w:rPr>
            <w:noProof/>
            <w:webHidden/>
          </w:rPr>
          <w:instrText xml:space="preserve"> PAGEREF _Toc413070263 \h </w:instrText>
        </w:r>
        <w:r>
          <w:rPr>
            <w:noProof/>
            <w:webHidden/>
          </w:rPr>
        </w:r>
        <w:r>
          <w:rPr>
            <w:noProof/>
            <w:webHidden/>
          </w:rPr>
          <w:fldChar w:fldCharType="separate"/>
        </w:r>
        <w:r w:rsidR="00771EE3">
          <w:rPr>
            <w:noProof/>
            <w:webHidden/>
          </w:rPr>
          <w:t>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4" w:history="1">
        <w:r w:rsidR="00771EE3" w:rsidRPr="00351A9C">
          <w:rPr>
            <w:rStyle w:val="Hyperlink"/>
            <w:noProof/>
          </w:rPr>
          <w:t>2.5</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Conférence des fournisseurs</w:t>
        </w:r>
        <w:r w:rsidR="00771EE3">
          <w:rPr>
            <w:noProof/>
            <w:webHidden/>
          </w:rPr>
          <w:tab/>
        </w:r>
        <w:r>
          <w:rPr>
            <w:noProof/>
            <w:webHidden/>
          </w:rPr>
          <w:fldChar w:fldCharType="begin"/>
        </w:r>
        <w:r w:rsidR="00771EE3">
          <w:rPr>
            <w:noProof/>
            <w:webHidden/>
          </w:rPr>
          <w:instrText xml:space="preserve"> PAGEREF _Toc413070264 \h </w:instrText>
        </w:r>
        <w:r>
          <w:rPr>
            <w:noProof/>
            <w:webHidden/>
          </w:rPr>
        </w:r>
        <w:r>
          <w:rPr>
            <w:noProof/>
            <w:webHidden/>
          </w:rPr>
          <w:fldChar w:fldCharType="separate"/>
        </w:r>
        <w:r w:rsidR="00771EE3">
          <w:rPr>
            <w:noProof/>
            <w:webHidden/>
          </w:rPr>
          <w:t>7</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5" w:history="1">
        <w:r w:rsidR="00771EE3" w:rsidRPr="00351A9C">
          <w:rPr>
            <w:rStyle w:val="Hyperlink"/>
            <w:noProof/>
          </w:rPr>
          <w:t>2.6</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Lois applicables</w:t>
        </w:r>
        <w:r w:rsidR="00771EE3">
          <w:rPr>
            <w:noProof/>
            <w:webHidden/>
          </w:rPr>
          <w:tab/>
        </w:r>
        <w:r>
          <w:rPr>
            <w:noProof/>
            <w:webHidden/>
          </w:rPr>
          <w:fldChar w:fldCharType="begin"/>
        </w:r>
        <w:r w:rsidR="00771EE3">
          <w:rPr>
            <w:noProof/>
            <w:webHidden/>
          </w:rPr>
          <w:instrText xml:space="preserve"> PAGEREF _Toc413070265 \h </w:instrText>
        </w:r>
        <w:r>
          <w:rPr>
            <w:noProof/>
            <w:webHidden/>
          </w:rPr>
        </w:r>
        <w:r>
          <w:rPr>
            <w:noProof/>
            <w:webHidden/>
          </w:rPr>
          <w:fldChar w:fldCharType="separate"/>
        </w:r>
        <w:r w:rsidR="00771EE3">
          <w:rPr>
            <w:noProof/>
            <w:webHidden/>
          </w:rPr>
          <w:t>7</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66" w:history="1">
        <w:r w:rsidR="00771EE3" w:rsidRPr="00351A9C">
          <w:rPr>
            <w:rStyle w:val="Hyperlink"/>
            <w:noProof/>
          </w:rPr>
          <w:t>PARTIE 3 – INSTRUCTIONS POUR LA PRÉPARATION DES ARRANGEMENTS</w:t>
        </w:r>
        <w:r w:rsidR="00771EE3">
          <w:rPr>
            <w:noProof/>
            <w:webHidden/>
          </w:rPr>
          <w:tab/>
        </w:r>
        <w:r>
          <w:rPr>
            <w:noProof/>
            <w:webHidden/>
          </w:rPr>
          <w:fldChar w:fldCharType="begin"/>
        </w:r>
        <w:r w:rsidR="00771EE3">
          <w:rPr>
            <w:noProof/>
            <w:webHidden/>
          </w:rPr>
          <w:instrText xml:space="preserve"> PAGEREF _Toc413070266 \h </w:instrText>
        </w:r>
        <w:r>
          <w:rPr>
            <w:noProof/>
            <w:webHidden/>
          </w:rPr>
        </w:r>
        <w:r>
          <w:rPr>
            <w:noProof/>
            <w:webHidden/>
          </w:rPr>
          <w:fldChar w:fldCharType="separate"/>
        </w:r>
        <w:r w:rsidR="00771EE3">
          <w:rPr>
            <w:noProof/>
            <w:webHidden/>
          </w:rPr>
          <w:t>8</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7" w:history="1">
        <w:r w:rsidR="00771EE3" w:rsidRPr="00351A9C">
          <w:rPr>
            <w:rStyle w:val="Hyperlink"/>
            <w:noProof/>
          </w:rPr>
          <w:t>3.1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Instructions pour la préparation des arrangements</w:t>
        </w:r>
        <w:r w:rsidR="00771EE3">
          <w:rPr>
            <w:noProof/>
            <w:webHidden/>
          </w:rPr>
          <w:tab/>
        </w:r>
        <w:r>
          <w:rPr>
            <w:noProof/>
            <w:webHidden/>
          </w:rPr>
          <w:fldChar w:fldCharType="begin"/>
        </w:r>
        <w:r w:rsidR="00771EE3">
          <w:rPr>
            <w:noProof/>
            <w:webHidden/>
          </w:rPr>
          <w:instrText xml:space="preserve"> PAGEREF _Toc413070267 \h </w:instrText>
        </w:r>
        <w:r>
          <w:rPr>
            <w:noProof/>
            <w:webHidden/>
          </w:rPr>
        </w:r>
        <w:r>
          <w:rPr>
            <w:noProof/>
            <w:webHidden/>
          </w:rPr>
          <w:fldChar w:fldCharType="separate"/>
        </w:r>
        <w:r w:rsidR="00771EE3">
          <w:rPr>
            <w:noProof/>
            <w:webHidden/>
          </w:rPr>
          <w:t>8</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68" w:history="1">
        <w:r w:rsidR="00771EE3" w:rsidRPr="00351A9C">
          <w:rPr>
            <w:rStyle w:val="Hyperlink"/>
            <w:noProof/>
          </w:rPr>
          <w:t>PARTIE 4 – PROCÉDURES D’ÉVALUATION ET MÉTHODE DE SÉLECTION</w:t>
        </w:r>
        <w:r w:rsidR="00771EE3">
          <w:rPr>
            <w:noProof/>
            <w:webHidden/>
          </w:rPr>
          <w:tab/>
        </w:r>
        <w:r>
          <w:rPr>
            <w:noProof/>
            <w:webHidden/>
          </w:rPr>
          <w:fldChar w:fldCharType="begin"/>
        </w:r>
        <w:r w:rsidR="00771EE3">
          <w:rPr>
            <w:noProof/>
            <w:webHidden/>
          </w:rPr>
          <w:instrText xml:space="preserve"> PAGEREF _Toc413070268 \h </w:instrText>
        </w:r>
        <w:r>
          <w:rPr>
            <w:noProof/>
            <w:webHidden/>
          </w:rPr>
        </w:r>
        <w:r>
          <w:rPr>
            <w:noProof/>
            <w:webHidden/>
          </w:rPr>
          <w:fldChar w:fldCharType="separate"/>
        </w:r>
        <w:r w:rsidR="00771EE3">
          <w:rPr>
            <w:noProof/>
            <w:webHidden/>
          </w:rPr>
          <w:t>9</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69" w:history="1">
        <w:r w:rsidR="00771EE3" w:rsidRPr="00351A9C">
          <w:rPr>
            <w:rStyle w:val="Hyperlink"/>
            <w:noProof/>
          </w:rPr>
          <w:t>4.1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Procédures d’évaluation</w:t>
        </w:r>
        <w:r w:rsidR="00771EE3">
          <w:rPr>
            <w:noProof/>
            <w:webHidden/>
          </w:rPr>
          <w:tab/>
        </w:r>
        <w:r>
          <w:rPr>
            <w:noProof/>
            <w:webHidden/>
          </w:rPr>
          <w:fldChar w:fldCharType="begin"/>
        </w:r>
        <w:r w:rsidR="00771EE3">
          <w:rPr>
            <w:noProof/>
            <w:webHidden/>
          </w:rPr>
          <w:instrText xml:space="preserve"> PAGEREF _Toc413070269 \h </w:instrText>
        </w:r>
        <w:r>
          <w:rPr>
            <w:noProof/>
            <w:webHidden/>
          </w:rPr>
        </w:r>
        <w:r>
          <w:rPr>
            <w:noProof/>
            <w:webHidden/>
          </w:rPr>
          <w:fldChar w:fldCharType="separate"/>
        </w:r>
        <w:r w:rsidR="00771EE3">
          <w:rPr>
            <w:noProof/>
            <w:webHidden/>
          </w:rPr>
          <w:t>9</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0" w:history="1">
        <w:r w:rsidR="00771EE3" w:rsidRPr="00351A9C">
          <w:rPr>
            <w:rStyle w:val="Hyperlink"/>
            <w:noProof/>
          </w:rPr>
          <w:t>4.2</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Méthode de sélection</w:t>
        </w:r>
        <w:r w:rsidR="00771EE3">
          <w:rPr>
            <w:noProof/>
            <w:webHidden/>
          </w:rPr>
          <w:tab/>
        </w:r>
        <w:r>
          <w:rPr>
            <w:noProof/>
            <w:webHidden/>
          </w:rPr>
          <w:fldChar w:fldCharType="begin"/>
        </w:r>
        <w:r w:rsidR="00771EE3">
          <w:rPr>
            <w:noProof/>
            <w:webHidden/>
          </w:rPr>
          <w:instrText xml:space="preserve"> PAGEREF _Toc413070270 \h </w:instrText>
        </w:r>
        <w:r>
          <w:rPr>
            <w:noProof/>
            <w:webHidden/>
          </w:rPr>
        </w:r>
        <w:r>
          <w:rPr>
            <w:noProof/>
            <w:webHidden/>
          </w:rPr>
          <w:fldChar w:fldCharType="separate"/>
        </w:r>
        <w:r w:rsidR="00771EE3">
          <w:rPr>
            <w:noProof/>
            <w:webHidden/>
          </w:rPr>
          <w:t>11</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71" w:history="1">
        <w:r w:rsidR="00771EE3" w:rsidRPr="00351A9C">
          <w:rPr>
            <w:rStyle w:val="Hyperlink"/>
            <w:noProof/>
          </w:rPr>
          <w:t>PARTIE 5 – ATTESTATIONS</w:t>
        </w:r>
        <w:r w:rsidR="00771EE3">
          <w:rPr>
            <w:noProof/>
            <w:webHidden/>
          </w:rPr>
          <w:tab/>
        </w:r>
        <w:r>
          <w:rPr>
            <w:noProof/>
            <w:webHidden/>
          </w:rPr>
          <w:fldChar w:fldCharType="begin"/>
        </w:r>
        <w:r w:rsidR="00771EE3">
          <w:rPr>
            <w:noProof/>
            <w:webHidden/>
          </w:rPr>
          <w:instrText xml:space="preserve"> PAGEREF _Toc413070271 \h </w:instrText>
        </w:r>
        <w:r>
          <w:rPr>
            <w:noProof/>
            <w:webHidden/>
          </w:rPr>
        </w:r>
        <w:r>
          <w:rPr>
            <w:noProof/>
            <w:webHidden/>
          </w:rPr>
          <w:fldChar w:fldCharType="separate"/>
        </w:r>
        <w:r w:rsidR="00771EE3">
          <w:rPr>
            <w:noProof/>
            <w:webHidden/>
          </w:rPr>
          <w:t>12</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2" w:history="1">
        <w:r w:rsidR="00771EE3" w:rsidRPr="00351A9C">
          <w:rPr>
            <w:rStyle w:val="Hyperlink"/>
            <w:noProof/>
          </w:rPr>
          <w:t>5.1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Attestations préalables à l’émission d’un arrangement en matière d’approvisionnement</w:t>
        </w:r>
        <w:r w:rsidR="00771EE3">
          <w:rPr>
            <w:noProof/>
            <w:webHidden/>
          </w:rPr>
          <w:tab/>
        </w:r>
        <w:r>
          <w:rPr>
            <w:noProof/>
            <w:webHidden/>
          </w:rPr>
          <w:fldChar w:fldCharType="begin"/>
        </w:r>
        <w:r w:rsidR="00771EE3">
          <w:rPr>
            <w:noProof/>
            <w:webHidden/>
          </w:rPr>
          <w:instrText xml:space="preserve"> PAGEREF _Toc413070272 \h </w:instrText>
        </w:r>
        <w:r>
          <w:rPr>
            <w:noProof/>
            <w:webHidden/>
          </w:rPr>
        </w:r>
        <w:r>
          <w:rPr>
            <w:noProof/>
            <w:webHidden/>
          </w:rPr>
          <w:fldChar w:fldCharType="separate"/>
        </w:r>
        <w:r w:rsidR="00771EE3">
          <w:rPr>
            <w:noProof/>
            <w:webHidden/>
          </w:rPr>
          <w:t>12</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3" w:history="1">
        <w:r w:rsidR="00771EE3" w:rsidRPr="00351A9C">
          <w:rPr>
            <w:rStyle w:val="Hyperlink"/>
            <w:noProof/>
          </w:rPr>
          <w:t>5.2</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Renseignements supplémentaires requis préalablement à la publication d’un AMA</w:t>
        </w:r>
        <w:r w:rsidR="00771EE3">
          <w:rPr>
            <w:noProof/>
            <w:webHidden/>
          </w:rPr>
          <w:tab/>
        </w:r>
        <w:r>
          <w:rPr>
            <w:noProof/>
            <w:webHidden/>
          </w:rPr>
          <w:fldChar w:fldCharType="begin"/>
        </w:r>
        <w:r w:rsidR="00771EE3">
          <w:rPr>
            <w:noProof/>
            <w:webHidden/>
          </w:rPr>
          <w:instrText xml:space="preserve"> PAGEREF _Toc413070273 \h </w:instrText>
        </w:r>
        <w:r>
          <w:rPr>
            <w:noProof/>
            <w:webHidden/>
          </w:rPr>
        </w:r>
        <w:r>
          <w:rPr>
            <w:noProof/>
            <w:webHidden/>
          </w:rPr>
          <w:fldChar w:fldCharType="separate"/>
        </w:r>
        <w:r w:rsidR="00771EE3">
          <w:rPr>
            <w:noProof/>
            <w:webHidden/>
          </w:rPr>
          <w:t>14</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74" w:history="1">
        <w:r w:rsidR="00771EE3" w:rsidRPr="00351A9C">
          <w:rPr>
            <w:rStyle w:val="Hyperlink"/>
            <w:noProof/>
          </w:rPr>
          <w:t>PARTIE 6 – ARRANGEMENT EN MATIÈRE D’APPROVISIONNEMENT ET CLAUSES DU CONTRAT SUBSÉQUENT</w:t>
        </w:r>
        <w:r w:rsidR="00771EE3">
          <w:rPr>
            <w:noProof/>
            <w:webHidden/>
          </w:rPr>
          <w:tab/>
        </w:r>
        <w:r>
          <w:rPr>
            <w:noProof/>
            <w:webHidden/>
          </w:rPr>
          <w:fldChar w:fldCharType="begin"/>
        </w:r>
        <w:r w:rsidR="00771EE3">
          <w:rPr>
            <w:noProof/>
            <w:webHidden/>
          </w:rPr>
          <w:instrText xml:space="preserve"> PAGEREF _Toc413070274 \h </w:instrText>
        </w:r>
        <w:r>
          <w:rPr>
            <w:noProof/>
            <w:webHidden/>
          </w:rPr>
        </w:r>
        <w:r>
          <w:rPr>
            <w:noProof/>
            <w:webHidden/>
          </w:rPr>
          <w:fldChar w:fldCharType="separate"/>
        </w:r>
        <w:r w:rsidR="00771EE3">
          <w:rPr>
            <w:noProof/>
            <w:webHidden/>
          </w:rPr>
          <w:t>16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5" w:history="1">
        <w:r w:rsidR="00771EE3" w:rsidRPr="00351A9C">
          <w:rPr>
            <w:rStyle w:val="Hyperlink"/>
            <w:noProof/>
          </w:rPr>
          <w:t>6A.</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ARRANGEMENT EN MATIÈRE D’APPROVISIONNEMENT</w:t>
        </w:r>
        <w:r w:rsidR="00771EE3">
          <w:rPr>
            <w:noProof/>
            <w:webHidden/>
          </w:rPr>
          <w:tab/>
        </w:r>
        <w:r>
          <w:rPr>
            <w:noProof/>
            <w:webHidden/>
          </w:rPr>
          <w:fldChar w:fldCharType="begin"/>
        </w:r>
        <w:r w:rsidR="00771EE3">
          <w:rPr>
            <w:noProof/>
            <w:webHidden/>
          </w:rPr>
          <w:instrText xml:space="preserve"> PAGEREF _Toc413070275 \h </w:instrText>
        </w:r>
        <w:r>
          <w:rPr>
            <w:noProof/>
            <w:webHidden/>
          </w:rPr>
        </w:r>
        <w:r>
          <w:rPr>
            <w:noProof/>
            <w:webHidden/>
          </w:rPr>
          <w:fldChar w:fldCharType="separate"/>
        </w:r>
        <w:r w:rsidR="00771EE3">
          <w:rPr>
            <w:noProof/>
            <w:webHidden/>
          </w:rPr>
          <w:t>16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6" w:history="1">
        <w:r w:rsidR="00771EE3" w:rsidRPr="00351A9C">
          <w:rPr>
            <w:rStyle w:val="Hyperlink"/>
            <w:noProof/>
          </w:rPr>
          <w:t>6A1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Arrangement</w:t>
        </w:r>
        <w:r w:rsidR="00771EE3">
          <w:rPr>
            <w:noProof/>
            <w:webHidden/>
          </w:rPr>
          <w:tab/>
        </w:r>
        <w:r>
          <w:rPr>
            <w:noProof/>
            <w:webHidden/>
          </w:rPr>
          <w:fldChar w:fldCharType="begin"/>
        </w:r>
        <w:r w:rsidR="00771EE3">
          <w:rPr>
            <w:noProof/>
            <w:webHidden/>
          </w:rPr>
          <w:instrText xml:space="preserve"> PAGEREF _Toc413070276 \h </w:instrText>
        </w:r>
        <w:r>
          <w:rPr>
            <w:noProof/>
            <w:webHidden/>
          </w:rPr>
        </w:r>
        <w:r>
          <w:rPr>
            <w:noProof/>
            <w:webHidden/>
          </w:rPr>
          <w:fldChar w:fldCharType="separate"/>
        </w:r>
        <w:r w:rsidR="00771EE3">
          <w:rPr>
            <w:noProof/>
            <w:webHidden/>
          </w:rPr>
          <w:t>16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7" w:history="1">
        <w:r w:rsidR="00771EE3" w:rsidRPr="00351A9C">
          <w:rPr>
            <w:rStyle w:val="Hyperlink"/>
            <w:noProof/>
          </w:rPr>
          <w:t>6A.2</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Exigences relatives à la sécurité</w:t>
        </w:r>
        <w:r w:rsidR="00771EE3">
          <w:rPr>
            <w:noProof/>
            <w:webHidden/>
          </w:rPr>
          <w:tab/>
        </w:r>
        <w:r>
          <w:rPr>
            <w:noProof/>
            <w:webHidden/>
          </w:rPr>
          <w:fldChar w:fldCharType="begin"/>
        </w:r>
        <w:r w:rsidR="00771EE3">
          <w:rPr>
            <w:noProof/>
            <w:webHidden/>
          </w:rPr>
          <w:instrText xml:space="preserve"> PAGEREF _Toc413070277 \h </w:instrText>
        </w:r>
        <w:r>
          <w:rPr>
            <w:noProof/>
            <w:webHidden/>
          </w:rPr>
        </w:r>
        <w:r>
          <w:rPr>
            <w:noProof/>
            <w:webHidden/>
          </w:rPr>
          <w:fldChar w:fldCharType="separate"/>
        </w:r>
        <w:r w:rsidR="00771EE3">
          <w:rPr>
            <w:noProof/>
            <w:webHidden/>
          </w:rPr>
          <w:t>16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8" w:history="1">
        <w:r w:rsidR="00771EE3" w:rsidRPr="00351A9C">
          <w:rPr>
            <w:rStyle w:val="Hyperlink"/>
            <w:noProof/>
          </w:rPr>
          <w:t>6A.3</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Clauses et conditions uniformisées</w:t>
        </w:r>
        <w:r w:rsidR="00771EE3">
          <w:rPr>
            <w:noProof/>
            <w:webHidden/>
          </w:rPr>
          <w:tab/>
        </w:r>
        <w:r>
          <w:rPr>
            <w:noProof/>
            <w:webHidden/>
          </w:rPr>
          <w:fldChar w:fldCharType="begin"/>
        </w:r>
        <w:r w:rsidR="00771EE3">
          <w:rPr>
            <w:noProof/>
            <w:webHidden/>
          </w:rPr>
          <w:instrText xml:space="preserve"> PAGEREF _Toc413070278 \h </w:instrText>
        </w:r>
        <w:r>
          <w:rPr>
            <w:noProof/>
            <w:webHidden/>
          </w:rPr>
        </w:r>
        <w:r>
          <w:rPr>
            <w:noProof/>
            <w:webHidden/>
          </w:rPr>
          <w:fldChar w:fldCharType="separate"/>
        </w:r>
        <w:r w:rsidR="00771EE3">
          <w:rPr>
            <w:noProof/>
            <w:webHidden/>
          </w:rPr>
          <w:t>16</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79" w:history="1">
        <w:r w:rsidR="00771EE3" w:rsidRPr="00351A9C">
          <w:rPr>
            <w:rStyle w:val="Hyperlink"/>
            <w:noProof/>
          </w:rPr>
          <w:t>6A.4</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Durée de l’arrangement en matière d’approvisionnement</w:t>
        </w:r>
        <w:r w:rsidR="00771EE3">
          <w:rPr>
            <w:noProof/>
            <w:webHidden/>
          </w:rPr>
          <w:tab/>
        </w:r>
        <w:r>
          <w:rPr>
            <w:noProof/>
            <w:webHidden/>
          </w:rPr>
          <w:fldChar w:fldCharType="begin"/>
        </w:r>
        <w:r w:rsidR="00771EE3">
          <w:rPr>
            <w:noProof/>
            <w:webHidden/>
          </w:rPr>
          <w:instrText xml:space="preserve"> PAGEREF _Toc413070279 \h </w:instrText>
        </w:r>
        <w:r>
          <w:rPr>
            <w:noProof/>
            <w:webHidden/>
          </w:rPr>
        </w:r>
        <w:r>
          <w:rPr>
            <w:noProof/>
            <w:webHidden/>
          </w:rPr>
          <w:fldChar w:fldCharType="separate"/>
        </w:r>
        <w:r w:rsidR="00771EE3">
          <w:rPr>
            <w:noProof/>
            <w:webHidden/>
          </w:rPr>
          <w:t>17</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0" w:history="1">
        <w:r w:rsidR="00771EE3" w:rsidRPr="00351A9C">
          <w:rPr>
            <w:rStyle w:val="Hyperlink"/>
            <w:noProof/>
          </w:rPr>
          <w:t>6A.5</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Responsables</w:t>
        </w:r>
        <w:r w:rsidR="00771EE3">
          <w:rPr>
            <w:noProof/>
            <w:webHidden/>
          </w:rPr>
          <w:tab/>
        </w:r>
        <w:r>
          <w:rPr>
            <w:noProof/>
            <w:webHidden/>
          </w:rPr>
          <w:fldChar w:fldCharType="begin"/>
        </w:r>
        <w:r w:rsidR="00771EE3">
          <w:rPr>
            <w:noProof/>
            <w:webHidden/>
          </w:rPr>
          <w:instrText xml:space="preserve"> PAGEREF _Toc413070280 \h </w:instrText>
        </w:r>
        <w:r>
          <w:rPr>
            <w:noProof/>
            <w:webHidden/>
          </w:rPr>
        </w:r>
        <w:r>
          <w:rPr>
            <w:noProof/>
            <w:webHidden/>
          </w:rPr>
          <w:fldChar w:fldCharType="separate"/>
        </w:r>
        <w:r w:rsidR="00771EE3">
          <w:rPr>
            <w:noProof/>
            <w:webHidden/>
          </w:rPr>
          <w:t>18</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1" w:history="1">
        <w:r w:rsidR="00771EE3" w:rsidRPr="00351A9C">
          <w:rPr>
            <w:rStyle w:val="Hyperlink"/>
            <w:noProof/>
          </w:rPr>
          <w:t>6A.6</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Utilisateurs désignés</w:t>
        </w:r>
        <w:r w:rsidR="00771EE3">
          <w:rPr>
            <w:noProof/>
            <w:webHidden/>
          </w:rPr>
          <w:tab/>
        </w:r>
        <w:r>
          <w:rPr>
            <w:noProof/>
            <w:webHidden/>
          </w:rPr>
          <w:fldChar w:fldCharType="begin"/>
        </w:r>
        <w:r w:rsidR="00771EE3">
          <w:rPr>
            <w:noProof/>
            <w:webHidden/>
          </w:rPr>
          <w:instrText xml:space="preserve"> PAGEREF _Toc413070281 \h </w:instrText>
        </w:r>
        <w:r>
          <w:rPr>
            <w:noProof/>
            <w:webHidden/>
          </w:rPr>
        </w:r>
        <w:r>
          <w:rPr>
            <w:noProof/>
            <w:webHidden/>
          </w:rPr>
          <w:fldChar w:fldCharType="separate"/>
        </w:r>
        <w:r w:rsidR="00771EE3">
          <w:rPr>
            <w:noProof/>
            <w:webHidden/>
          </w:rPr>
          <w:t>18</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2" w:history="1">
        <w:r w:rsidR="00771EE3" w:rsidRPr="00351A9C">
          <w:rPr>
            <w:rStyle w:val="Hyperlink"/>
            <w:noProof/>
          </w:rPr>
          <w:t>6A.7</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Occasion de qualification continue</w:t>
        </w:r>
        <w:r w:rsidR="00771EE3">
          <w:rPr>
            <w:noProof/>
            <w:webHidden/>
          </w:rPr>
          <w:tab/>
        </w:r>
        <w:r>
          <w:rPr>
            <w:noProof/>
            <w:webHidden/>
          </w:rPr>
          <w:fldChar w:fldCharType="begin"/>
        </w:r>
        <w:r w:rsidR="00771EE3">
          <w:rPr>
            <w:noProof/>
            <w:webHidden/>
          </w:rPr>
          <w:instrText xml:space="preserve"> PAGEREF _Toc413070282 \h </w:instrText>
        </w:r>
        <w:r>
          <w:rPr>
            <w:noProof/>
            <w:webHidden/>
          </w:rPr>
        </w:r>
        <w:r>
          <w:rPr>
            <w:noProof/>
            <w:webHidden/>
          </w:rPr>
          <w:fldChar w:fldCharType="separate"/>
        </w:r>
        <w:r w:rsidR="00771EE3">
          <w:rPr>
            <w:noProof/>
            <w:webHidden/>
          </w:rPr>
          <w:t>18</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3" w:history="1">
        <w:r w:rsidR="00771EE3" w:rsidRPr="00351A9C">
          <w:rPr>
            <w:rStyle w:val="Hyperlink"/>
            <w:noProof/>
          </w:rPr>
          <w:t>6A.8</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Ordre de priorité des documents</w:t>
        </w:r>
        <w:r w:rsidR="00771EE3">
          <w:rPr>
            <w:noProof/>
            <w:webHidden/>
          </w:rPr>
          <w:tab/>
        </w:r>
        <w:r>
          <w:rPr>
            <w:noProof/>
            <w:webHidden/>
          </w:rPr>
          <w:fldChar w:fldCharType="begin"/>
        </w:r>
        <w:r w:rsidR="00771EE3">
          <w:rPr>
            <w:noProof/>
            <w:webHidden/>
          </w:rPr>
          <w:instrText xml:space="preserve"> PAGEREF _Toc413070283 \h </w:instrText>
        </w:r>
        <w:r>
          <w:rPr>
            <w:noProof/>
            <w:webHidden/>
          </w:rPr>
        </w:r>
        <w:r>
          <w:rPr>
            <w:noProof/>
            <w:webHidden/>
          </w:rPr>
          <w:fldChar w:fldCharType="separate"/>
        </w:r>
        <w:r w:rsidR="00771EE3">
          <w:rPr>
            <w:noProof/>
            <w:webHidden/>
          </w:rPr>
          <w:t>18</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4" w:history="1">
        <w:r w:rsidR="00771EE3" w:rsidRPr="00351A9C">
          <w:rPr>
            <w:rStyle w:val="Hyperlink"/>
            <w:noProof/>
          </w:rPr>
          <w:t xml:space="preserve">6A.9 </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Attestations</w:t>
        </w:r>
        <w:r w:rsidR="00771EE3">
          <w:rPr>
            <w:noProof/>
            <w:webHidden/>
          </w:rPr>
          <w:tab/>
        </w:r>
        <w:r>
          <w:rPr>
            <w:noProof/>
            <w:webHidden/>
          </w:rPr>
          <w:fldChar w:fldCharType="begin"/>
        </w:r>
        <w:r w:rsidR="00771EE3">
          <w:rPr>
            <w:noProof/>
            <w:webHidden/>
          </w:rPr>
          <w:instrText xml:space="preserve"> PAGEREF _Toc413070284 \h </w:instrText>
        </w:r>
        <w:r>
          <w:rPr>
            <w:noProof/>
            <w:webHidden/>
          </w:rPr>
        </w:r>
        <w:r>
          <w:rPr>
            <w:noProof/>
            <w:webHidden/>
          </w:rPr>
          <w:fldChar w:fldCharType="separate"/>
        </w:r>
        <w:r w:rsidR="00771EE3">
          <w:rPr>
            <w:noProof/>
            <w:webHidden/>
          </w:rPr>
          <w:t>19</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5" w:history="1">
        <w:r w:rsidR="00771EE3" w:rsidRPr="00351A9C">
          <w:rPr>
            <w:rStyle w:val="Hyperlink"/>
            <w:noProof/>
          </w:rPr>
          <w:t>6A.10</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Lois applicables</w:t>
        </w:r>
        <w:r w:rsidR="00771EE3">
          <w:rPr>
            <w:noProof/>
            <w:webHidden/>
          </w:rPr>
          <w:tab/>
        </w:r>
        <w:r>
          <w:rPr>
            <w:noProof/>
            <w:webHidden/>
          </w:rPr>
          <w:fldChar w:fldCharType="begin"/>
        </w:r>
        <w:r w:rsidR="00771EE3">
          <w:rPr>
            <w:noProof/>
            <w:webHidden/>
          </w:rPr>
          <w:instrText xml:space="preserve"> PAGEREF _Toc413070285 \h </w:instrText>
        </w:r>
        <w:r>
          <w:rPr>
            <w:noProof/>
            <w:webHidden/>
          </w:rPr>
        </w:r>
        <w:r>
          <w:rPr>
            <w:noProof/>
            <w:webHidden/>
          </w:rPr>
          <w:fldChar w:fldCharType="separate"/>
        </w:r>
        <w:r w:rsidR="00771EE3">
          <w:rPr>
            <w:noProof/>
            <w:webHidden/>
          </w:rPr>
          <w:t>20</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6" w:history="1">
        <w:r w:rsidR="00771EE3" w:rsidRPr="00351A9C">
          <w:rPr>
            <w:rStyle w:val="Hyperlink"/>
            <w:noProof/>
          </w:rPr>
          <w:t>6A.11</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Utilisation d’outils électroniques</w:t>
        </w:r>
        <w:r w:rsidR="00771EE3">
          <w:rPr>
            <w:noProof/>
            <w:webHidden/>
          </w:rPr>
          <w:tab/>
        </w:r>
        <w:r>
          <w:rPr>
            <w:noProof/>
            <w:webHidden/>
          </w:rPr>
          <w:fldChar w:fldCharType="begin"/>
        </w:r>
        <w:r w:rsidR="00771EE3">
          <w:rPr>
            <w:noProof/>
            <w:webHidden/>
          </w:rPr>
          <w:instrText xml:space="preserve"> PAGEREF _Toc413070286 \h </w:instrText>
        </w:r>
        <w:r>
          <w:rPr>
            <w:noProof/>
            <w:webHidden/>
          </w:rPr>
        </w:r>
        <w:r>
          <w:rPr>
            <w:noProof/>
            <w:webHidden/>
          </w:rPr>
          <w:fldChar w:fldCharType="separate"/>
        </w:r>
        <w:r w:rsidR="00771EE3">
          <w:rPr>
            <w:noProof/>
            <w:webHidden/>
          </w:rPr>
          <w:t>20</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7" w:history="1">
        <w:r w:rsidR="00771EE3" w:rsidRPr="00351A9C">
          <w:rPr>
            <w:rStyle w:val="Hyperlink"/>
            <w:noProof/>
          </w:rPr>
          <w:t>6A.12</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Renseignements concernant le fournisseur</w:t>
        </w:r>
        <w:r w:rsidR="00771EE3">
          <w:rPr>
            <w:noProof/>
            <w:webHidden/>
          </w:rPr>
          <w:tab/>
        </w:r>
        <w:r>
          <w:rPr>
            <w:noProof/>
            <w:webHidden/>
          </w:rPr>
          <w:fldChar w:fldCharType="begin"/>
        </w:r>
        <w:r w:rsidR="00771EE3">
          <w:rPr>
            <w:noProof/>
            <w:webHidden/>
          </w:rPr>
          <w:instrText xml:space="preserve"> PAGEREF _Toc413070287 \h </w:instrText>
        </w:r>
        <w:r>
          <w:rPr>
            <w:noProof/>
            <w:webHidden/>
          </w:rPr>
        </w:r>
        <w:r>
          <w:rPr>
            <w:noProof/>
            <w:webHidden/>
          </w:rPr>
          <w:fldChar w:fldCharType="separate"/>
        </w:r>
        <w:r w:rsidR="00771EE3">
          <w:rPr>
            <w:noProof/>
            <w:webHidden/>
          </w:rPr>
          <w:t>20</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8" w:history="1">
        <w:r w:rsidR="00771EE3" w:rsidRPr="00351A9C">
          <w:rPr>
            <w:rStyle w:val="Hyperlink"/>
            <w:noProof/>
          </w:rPr>
          <w:t>6A.14</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Portée des travaux du fournisseur (étendue géographique)</w:t>
        </w:r>
        <w:r w:rsidR="00771EE3">
          <w:rPr>
            <w:noProof/>
            <w:webHidden/>
          </w:rPr>
          <w:tab/>
        </w:r>
        <w:r>
          <w:rPr>
            <w:noProof/>
            <w:webHidden/>
          </w:rPr>
          <w:fldChar w:fldCharType="begin"/>
        </w:r>
        <w:r w:rsidR="00771EE3">
          <w:rPr>
            <w:noProof/>
            <w:webHidden/>
          </w:rPr>
          <w:instrText xml:space="preserve"> PAGEREF _Toc413070288 \h </w:instrText>
        </w:r>
        <w:r>
          <w:rPr>
            <w:noProof/>
            <w:webHidden/>
          </w:rPr>
        </w:r>
        <w:r>
          <w:rPr>
            <w:noProof/>
            <w:webHidden/>
          </w:rPr>
          <w:fldChar w:fldCharType="separate"/>
        </w:r>
        <w:r w:rsidR="00771EE3">
          <w:rPr>
            <w:noProof/>
            <w:webHidden/>
          </w:rPr>
          <w:t>22</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89" w:history="1">
        <w:r w:rsidR="00771EE3" w:rsidRPr="00351A9C">
          <w:rPr>
            <w:rStyle w:val="Hyperlink"/>
            <w:noProof/>
          </w:rPr>
          <w:t>6A.16</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Besoins</w:t>
        </w:r>
        <w:r w:rsidR="00771EE3">
          <w:rPr>
            <w:noProof/>
            <w:webHidden/>
          </w:rPr>
          <w:tab/>
        </w:r>
        <w:r>
          <w:rPr>
            <w:noProof/>
            <w:webHidden/>
          </w:rPr>
          <w:fldChar w:fldCharType="begin"/>
        </w:r>
        <w:r w:rsidR="00771EE3">
          <w:rPr>
            <w:noProof/>
            <w:webHidden/>
          </w:rPr>
          <w:instrText xml:space="preserve"> PAGEREF _Toc413070289 \h </w:instrText>
        </w:r>
        <w:r>
          <w:rPr>
            <w:noProof/>
            <w:webHidden/>
          </w:rPr>
        </w:r>
        <w:r>
          <w:rPr>
            <w:noProof/>
            <w:webHidden/>
          </w:rPr>
          <w:fldChar w:fldCharType="separate"/>
        </w:r>
        <w:r w:rsidR="00771EE3">
          <w:rPr>
            <w:noProof/>
            <w:webHidden/>
          </w:rPr>
          <w:t>24</w:t>
        </w:r>
        <w:r>
          <w:rPr>
            <w:noProof/>
            <w:webHidden/>
          </w:rPr>
          <w:fldChar w:fldCharType="end"/>
        </w:r>
      </w:hyperlink>
    </w:p>
    <w:p w:rsidR="00771EE3" w:rsidRDefault="00731813">
      <w:pPr>
        <w:pStyle w:val="TOC2"/>
        <w:rPr>
          <w:rFonts w:asciiTheme="minorHAnsi" w:eastAsiaTheme="minorEastAsia" w:hAnsiTheme="minorHAnsi" w:cstheme="minorBidi"/>
          <w:smallCaps w:val="0"/>
          <w:noProof/>
          <w:sz w:val="22"/>
          <w:szCs w:val="22"/>
          <w:lang w:val="en-CA" w:eastAsia="en-CA" w:bidi="ar-SA"/>
        </w:rPr>
      </w:pPr>
      <w:hyperlink w:anchor="_Toc413070290" w:history="1">
        <w:r w:rsidR="00771EE3" w:rsidRPr="00351A9C">
          <w:rPr>
            <w:rStyle w:val="Hyperlink"/>
            <w:noProof/>
          </w:rPr>
          <w:t>6A.17</w:t>
        </w:r>
        <w:r w:rsidR="00771EE3">
          <w:rPr>
            <w:rFonts w:asciiTheme="minorHAnsi" w:eastAsiaTheme="minorEastAsia" w:hAnsiTheme="minorHAnsi" w:cstheme="minorBidi"/>
            <w:smallCaps w:val="0"/>
            <w:noProof/>
            <w:sz w:val="22"/>
            <w:szCs w:val="22"/>
            <w:lang w:val="en-CA" w:eastAsia="en-CA" w:bidi="ar-SA"/>
          </w:rPr>
          <w:tab/>
        </w:r>
        <w:r w:rsidR="00771EE3" w:rsidRPr="00351A9C">
          <w:rPr>
            <w:rStyle w:val="Hyperlink"/>
            <w:noProof/>
          </w:rPr>
          <w:t>Marquage aux fins de garantie</w:t>
        </w:r>
        <w:r w:rsidR="00771EE3">
          <w:rPr>
            <w:noProof/>
            <w:webHidden/>
          </w:rPr>
          <w:tab/>
        </w:r>
        <w:r>
          <w:rPr>
            <w:noProof/>
            <w:webHidden/>
          </w:rPr>
          <w:fldChar w:fldCharType="begin"/>
        </w:r>
        <w:r w:rsidR="00771EE3">
          <w:rPr>
            <w:noProof/>
            <w:webHidden/>
          </w:rPr>
          <w:instrText xml:space="preserve"> PAGEREF _Toc413070290 \h </w:instrText>
        </w:r>
        <w:r>
          <w:rPr>
            <w:noProof/>
            <w:webHidden/>
          </w:rPr>
        </w:r>
        <w:r>
          <w:rPr>
            <w:noProof/>
            <w:webHidden/>
          </w:rPr>
          <w:fldChar w:fldCharType="separate"/>
        </w:r>
        <w:r w:rsidR="00771EE3">
          <w:rPr>
            <w:noProof/>
            <w:webHidden/>
          </w:rPr>
          <w:t>24</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1" w:history="1">
        <w:r w:rsidR="00771EE3" w:rsidRPr="00351A9C">
          <w:rPr>
            <w:rStyle w:val="Hyperlink"/>
            <w:noProof/>
          </w:rPr>
          <w:t>ANNEXE A</w:t>
        </w:r>
        <w:r w:rsidR="00771EE3">
          <w:rPr>
            <w:noProof/>
            <w:webHidden/>
          </w:rPr>
          <w:tab/>
        </w:r>
        <w:r w:rsidR="00771EE3">
          <w:rPr>
            <w:noProof/>
            <w:webHidden/>
          </w:rPr>
          <w:tab/>
        </w:r>
        <w:r>
          <w:rPr>
            <w:noProof/>
            <w:webHidden/>
          </w:rPr>
          <w:fldChar w:fldCharType="begin"/>
        </w:r>
        <w:r w:rsidR="00771EE3">
          <w:rPr>
            <w:noProof/>
            <w:webHidden/>
          </w:rPr>
          <w:instrText xml:space="preserve"> PAGEREF _Toc413070291 \h </w:instrText>
        </w:r>
        <w:r>
          <w:rPr>
            <w:noProof/>
            <w:webHidden/>
          </w:rPr>
        </w:r>
        <w:r>
          <w:rPr>
            <w:noProof/>
            <w:webHidden/>
          </w:rPr>
          <w:fldChar w:fldCharType="separate"/>
        </w:r>
        <w:r w:rsidR="00771EE3">
          <w:rPr>
            <w:noProof/>
            <w:webHidden/>
          </w:rPr>
          <w:t>30</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2" w:history="1">
        <w:r w:rsidR="00771EE3" w:rsidRPr="00351A9C">
          <w:rPr>
            <w:rStyle w:val="Hyperlink"/>
            <w:noProof/>
          </w:rPr>
          <w:t>ANNEXE A­1</w:t>
        </w:r>
        <w:r w:rsidR="00771EE3">
          <w:rPr>
            <w:noProof/>
            <w:webHidden/>
          </w:rPr>
          <w:tab/>
        </w:r>
        <w:r>
          <w:rPr>
            <w:noProof/>
            <w:webHidden/>
          </w:rPr>
          <w:fldChar w:fldCharType="begin"/>
        </w:r>
        <w:r w:rsidR="00771EE3">
          <w:rPr>
            <w:noProof/>
            <w:webHidden/>
          </w:rPr>
          <w:instrText xml:space="preserve"> PAGEREF _Toc413070292 \h </w:instrText>
        </w:r>
        <w:r>
          <w:rPr>
            <w:noProof/>
            <w:webHidden/>
          </w:rPr>
        </w:r>
        <w:r>
          <w:rPr>
            <w:noProof/>
            <w:webHidden/>
          </w:rPr>
          <w:fldChar w:fldCharType="separate"/>
        </w:r>
        <w:r w:rsidR="00771EE3">
          <w:rPr>
            <w:noProof/>
            <w:webHidden/>
          </w:rPr>
          <w:t>34</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3" w:history="1">
        <w:r w:rsidR="00771EE3" w:rsidRPr="00351A9C">
          <w:rPr>
            <w:rStyle w:val="Hyperlink"/>
            <w:noProof/>
          </w:rPr>
          <w:t>Annexe A­2</w:t>
        </w:r>
        <w:r w:rsidR="00771EE3">
          <w:rPr>
            <w:noProof/>
            <w:webHidden/>
          </w:rPr>
          <w:tab/>
        </w:r>
        <w:r>
          <w:rPr>
            <w:noProof/>
            <w:webHidden/>
          </w:rPr>
          <w:fldChar w:fldCharType="begin"/>
        </w:r>
        <w:r w:rsidR="00771EE3">
          <w:rPr>
            <w:noProof/>
            <w:webHidden/>
          </w:rPr>
          <w:instrText xml:space="preserve"> PAGEREF _Toc413070293 \h </w:instrText>
        </w:r>
        <w:r>
          <w:rPr>
            <w:noProof/>
            <w:webHidden/>
          </w:rPr>
        </w:r>
        <w:r>
          <w:rPr>
            <w:noProof/>
            <w:webHidden/>
          </w:rPr>
          <w:fldChar w:fldCharType="separate"/>
        </w:r>
        <w:r w:rsidR="00771EE3">
          <w:rPr>
            <w:noProof/>
            <w:webHidden/>
          </w:rPr>
          <w:t>51</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4" w:history="1">
        <w:r w:rsidR="00771EE3" w:rsidRPr="00351A9C">
          <w:rPr>
            <w:rStyle w:val="Hyperlink"/>
            <w:noProof/>
          </w:rPr>
          <w:t>Annexe A­3</w:t>
        </w:r>
        <w:r w:rsidR="00771EE3">
          <w:rPr>
            <w:noProof/>
            <w:webHidden/>
          </w:rPr>
          <w:tab/>
        </w:r>
        <w:r>
          <w:rPr>
            <w:noProof/>
            <w:webHidden/>
          </w:rPr>
          <w:fldChar w:fldCharType="begin"/>
        </w:r>
        <w:r w:rsidR="00771EE3">
          <w:rPr>
            <w:noProof/>
            <w:webHidden/>
          </w:rPr>
          <w:instrText xml:space="preserve"> PAGEREF _Toc413070294 \h </w:instrText>
        </w:r>
        <w:r>
          <w:rPr>
            <w:noProof/>
            <w:webHidden/>
          </w:rPr>
        </w:r>
        <w:r>
          <w:rPr>
            <w:noProof/>
            <w:webHidden/>
          </w:rPr>
          <w:fldChar w:fldCharType="separate"/>
        </w:r>
        <w:r w:rsidR="00771EE3">
          <w:rPr>
            <w:noProof/>
            <w:webHidden/>
          </w:rPr>
          <w:t>53</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5" w:history="1">
        <w:r w:rsidR="00771EE3" w:rsidRPr="00351A9C">
          <w:rPr>
            <w:rStyle w:val="Hyperlink"/>
            <w:noProof/>
          </w:rPr>
          <w:t>Annexe B</w:t>
        </w:r>
        <w:r w:rsidR="00771EE3">
          <w:rPr>
            <w:noProof/>
            <w:webHidden/>
          </w:rPr>
          <w:tab/>
        </w:r>
        <w:r w:rsidR="00771EE3">
          <w:rPr>
            <w:noProof/>
            <w:webHidden/>
          </w:rPr>
          <w:tab/>
        </w:r>
        <w:r>
          <w:rPr>
            <w:noProof/>
            <w:webHidden/>
          </w:rPr>
          <w:fldChar w:fldCharType="begin"/>
        </w:r>
        <w:r w:rsidR="00771EE3">
          <w:rPr>
            <w:noProof/>
            <w:webHidden/>
          </w:rPr>
          <w:instrText xml:space="preserve"> PAGEREF _Toc413070295 \h </w:instrText>
        </w:r>
        <w:r>
          <w:rPr>
            <w:noProof/>
            <w:webHidden/>
          </w:rPr>
        </w:r>
        <w:r>
          <w:rPr>
            <w:noProof/>
            <w:webHidden/>
          </w:rPr>
          <w:fldChar w:fldCharType="separate"/>
        </w:r>
        <w:r w:rsidR="00771EE3">
          <w:rPr>
            <w:noProof/>
            <w:webHidden/>
          </w:rPr>
          <w:t>55</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6" w:history="1">
        <w:r w:rsidR="00771EE3" w:rsidRPr="00351A9C">
          <w:rPr>
            <w:rStyle w:val="Hyperlink"/>
            <w:noProof/>
          </w:rPr>
          <w:t>Annexe B­1</w:t>
        </w:r>
        <w:r w:rsidR="00771EE3">
          <w:rPr>
            <w:noProof/>
            <w:webHidden/>
          </w:rPr>
          <w:tab/>
        </w:r>
        <w:r>
          <w:rPr>
            <w:noProof/>
            <w:webHidden/>
          </w:rPr>
          <w:fldChar w:fldCharType="begin"/>
        </w:r>
        <w:r w:rsidR="00771EE3">
          <w:rPr>
            <w:noProof/>
            <w:webHidden/>
          </w:rPr>
          <w:instrText xml:space="preserve"> PAGEREF _Toc413070296 \h </w:instrText>
        </w:r>
        <w:r>
          <w:rPr>
            <w:noProof/>
            <w:webHidden/>
          </w:rPr>
        </w:r>
        <w:r>
          <w:rPr>
            <w:noProof/>
            <w:webHidden/>
          </w:rPr>
          <w:fldChar w:fldCharType="separate"/>
        </w:r>
        <w:r w:rsidR="00771EE3">
          <w:rPr>
            <w:noProof/>
            <w:webHidden/>
          </w:rPr>
          <w:t>57</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7" w:history="1">
        <w:r w:rsidR="00771EE3" w:rsidRPr="00351A9C">
          <w:rPr>
            <w:rStyle w:val="Hyperlink"/>
            <w:noProof/>
            <w:kern w:val="32"/>
          </w:rPr>
          <w:t>Annexe C</w:t>
        </w:r>
        <w:r w:rsidR="00771EE3">
          <w:rPr>
            <w:noProof/>
            <w:webHidden/>
          </w:rPr>
          <w:tab/>
        </w:r>
        <w:r w:rsidR="00771EE3">
          <w:rPr>
            <w:noProof/>
            <w:webHidden/>
          </w:rPr>
          <w:tab/>
        </w:r>
        <w:r>
          <w:rPr>
            <w:noProof/>
            <w:webHidden/>
          </w:rPr>
          <w:fldChar w:fldCharType="begin"/>
        </w:r>
        <w:r w:rsidR="00771EE3">
          <w:rPr>
            <w:noProof/>
            <w:webHidden/>
          </w:rPr>
          <w:instrText xml:space="preserve"> PAGEREF _Toc413070297 \h </w:instrText>
        </w:r>
        <w:r>
          <w:rPr>
            <w:noProof/>
            <w:webHidden/>
          </w:rPr>
        </w:r>
        <w:r>
          <w:rPr>
            <w:noProof/>
            <w:webHidden/>
          </w:rPr>
          <w:fldChar w:fldCharType="separate"/>
        </w:r>
        <w:r w:rsidR="00771EE3">
          <w:rPr>
            <w:noProof/>
            <w:webHidden/>
          </w:rPr>
          <w:t>58</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8" w:history="1">
        <w:r w:rsidR="00771EE3" w:rsidRPr="00351A9C">
          <w:rPr>
            <w:rStyle w:val="Hyperlink"/>
            <w:noProof/>
          </w:rPr>
          <w:t>Annexe D</w:t>
        </w:r>
        <w:r w:rsidR="00771EE3">
          <w:rPr>
            <w:noProof/>
            <w:webHidden/>
          </w:rPr>
          <w:tab/>
        </w:r>
        <w:r w:rsidR="00771EE3">
          <w:rPr>
            <w:noProof/>
            <w:webHidden/>
          </w:rPr>
          <w:tab/>
        </w:r>
        <w:r>
          <w:rPr>
            <w:noProof/>
            <w:webHidden/>
          </w:rPr>
          <w:fldChar w:fldCharType="begin"/>
        </w:r>
        <w:r w:rsidR="00771EE3">
          <w:rPr>
            <w:noProof/>
            <w:webHidden/>
          </w:rPr>
          <w:instrText xml:space="preserve"> PAGEREF _Toc413070298 \h </w:instrText>
        </w:r>
        <w:r>
          <w:rPr>
            <w:noProof/>
            <w:webHidden/>
          </w:rPr>
        </w:r>
        <w:r>
          <w:rPr>
            <w:noProof/>
            <w:webHidden/>
          </w:rPr>
          <w:fldChar w:fldCharType="separate"/>
        </w:r>
        <w:r w:rsidR="00771EE3">
          <w:rPr>
            <w:noProof/>
            <w:webHidden/>
          </w:rPr>
          <w:t>59</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299" w:history="1">
        <w:r w:rsidR="00771EE3" w:rsidRPr="00351A9C">
          <w:rPr>
            <w:rStyle w:val="Hyperlink"/>
            <w:noProof/>
          </w:rPr>
          <w:t>Annexe E</w:t>
        </w:r>
        <w:r w:rsidR="00771EE3">
          <w:rPr>
            <w:noProof/>
            <w:webHidden/>
          </w:rPr>
          <w:tab/>
        </w:r>
        <w:r w:rsidR="00771EE3">
          <w:rPr>
            <w:noProof/>
            <w:webHidden/>
          </w:rPr>
          <w:tab/>
        </w:r>
        <w:r>
          <w:rPr>
            <w:noProof/>
            <w:webHidden/>
          </w:rPr>
          <w:fldChar w:fldCharType="begin"/>
        </w:r>
        <w:r w:rsidR="00771EE3">
          <w:rPr>
            <w:noProof/>
            <w:webHidden/>
          </w:rPr>
          <w:instrText xml:space="preserve"> PAGEREF _Toc413070299 \h </w:instrText>
        </w:r>
        <w:r>
          <w:rPr>
            <w:noProof/>
            <w:webHidden/>
          </w:rPr>
        </w:r>
        <w:r>
          <w:rPr>
            <w:noProof/>
            <w:webHidden/>
          </w:rPr>
          <w:fldChar w:fldCharType="separate"/>
        </w:r>
        <w:r w:rsidR="00771EE3">
          <w:rPr>
            <w:noProof/>
            <w:webHidden/>
          </w:rPr>
          <w:t>60</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300" w:history="1">
        <w:r w:rsidR="00771EE3" w:rsidRPr="00351A9C">
          <w:rPr>
            <w:rStyle w:val="Hyperlink"/>
            <w:noProof/>
            <w:kern w:val="32"/>
          </w:rPr>
          <w:t>Appendice A</w:t>
        </w:r>
        <w:r w:rsidR="00771EE3">
          <w:rPr>
            <w:noProof/>
            <w:webHidden/>
          </w:rPr>
          <w:tab/>
        </w:r>
        <w:r>
          <w:rPr>
            <w:noProof/>
            <w:webHidden/>
          </w:rPr>
          <w:fldChar w:fldCharType="begin"/>
        </w:r>
        <w:r w:rsidR="00771EE3">
          <w:rPr>
            <w:noProof/>
            <w:webHidden/>
          </w:rPr>
          <w:instrText xml:space="preserve"> PAGEREF _Toc413070300 \h </w:instrText>
        </w:r>
        <w:r>
          <w:rPr>
            <w:noProof/>
            <w:webHidden/>
          </w:rPr>
        </w:r>
        <w:r>
          <w:rPr>
            <w:noProof/>
            <w:webHidden/>
          </w:rPr>
          <w:fldChar w:fldCharType="separate"/>
        </w:r>
        <w:r w:rsidR="00771EE3">
          <w:rPr>
            <w:noProof/>
            <w:webHidden/>
          </w:rPr>
          <w:t>61</w:t>
        </w:r>
        <w:r>
          <w:rPr>
            <w:noProof/>
            <w:webHidden/>
          </w:rPr>
          <w:fldChar w:fldCharType="end"/>
        </w:r>
      </w:hyperlink>
    </w:p>
    <w:p w:rsidR="00771EE3" w:rsidRDefault="00731813">
      <w:pPr>
        <w:pStyle w:val="TOC1"/>
        <w:rPr>
          <w:rFonts w:asciiTheme="minorHAnsi" w:eastAsiaTheme="minorEastAsia" w:hAnsiTheme="minorHAnsi" w:cstheme="minorBidi"/>
          <w:b w:val="0"/>
          <w:bCs w:val="0"/>
          <w:caps w:val="0"/>
          <w:noProof/>
          <w:sz w:val="22"/>
          <w:szCs w:val="22"/>
          <w:lang w:val="en-CA" w:eastAsia="en-CA" w:bidi="ar-SA"/>
        </w:rPr>
      </w:pPr>
      <w:hyperlink w:anchor="_Toc413070301" w:history="1">
        <w:r w:rsidR="00771EE3" w:rsidRPr="00351A9C">
          <w:rPr>
            <w:rStyle w:val="Hyperlink"/>
            <w:noProof/>
            <w:kern w:val="32"/>
          </w:rPr>
          <w:t>Appendice B</w:t>
        </w:r>
        <w:r w:rsidR="00771EE3">
          <w:rPr>
            <w:noProof/>
            <w:webHidden/>
          </w:rPr>
          <w:tab/>
        </w:r>
        <w:r>
          <w:rPr>
            <w:noProof/>
            <w:webHidden/>
          </w:rPr>
          <w:fldChar w:fldCharType="begin"/>
        </w:r>
        <w:r w:rsidR="00771EE3">
          <w:rPr>
            <w:noProof/>
            <w:webHidden/>
          </w:rPr>
          <w:instrText xml:space="preserve"> PAGEREF _Toc413070301 \h </w:instrText>
        </w:r>
        <w:r>
          <w:rPr>
            <w:noProof/>
            <w:webHidden/>
          </w:rPr>
        </w:r>
        <w:r>
          <w:rPr>
            <w:noProof/>
            <w:webHidden/>
          </w:rPr>
          <w:fldChar w:fldCharType="separate"/>
        </w:r>
        <w:r w:rsidR="00771EE3">
          <w:rPr>
            <w:noProof/>
            <w:webHidden/>
          </w:rPr>
          <w:t>62</w:t>
        </w:r>
        <w:r>
          <w:rPr>
            <w:noProof/>
            <w:webHidden/>
          </w:rPr>
          <w:fldChar w:fldCharType="end"/>
        </w:r>
      </w:hyperlink>
    </w:p>
    <w:p w:rsidR="00B24B16" w:rsidRPr="006E20A0" w:rsidRDefault="00731813" w:rsidP="00467857">
      <w:pPr>
        <w:pStyle w:val="ModlesEn-tte1"/>
      </w:pPr>
      <w:r w:rsidRPr="00000822">
        <w:rPr>
          <w:rFonts w:asciiTheme="minorHAnsi" w:hAnsiTheme="minorHAnsi" w:cstheme="minorHAnsi"/>
        </w:rPr>
        <w:fldChar w:fldCharType="end"/>
      </w:r>
      <w:r w:rsidR="006D3CB4" w:rsidRPr="00BE1EBA">
        <w:br w:type="page"/>
      </w:r>
      <w:bookmarkStart w:id="0" w:name="_Toc413070253"/>
      <w:r w:rsidR="006D3CB4" w:rsidRPr="006E20A0">
        <w:lastRenderedPageBreak/>
        <w:t>PARTIE 1 – RENSEIGNEMENTS GÉNÉRAUX</w:t>
      </w:r>
      <w:bookmarkEnd w:id="0"/>
    </w:p>
    <w:p w:rsidR="00B24B16" w:rsidRPr="00BE1EBA" w:rsidRDefault="00B24B16" w:rsidP="00232778">
      <w:pPr>
        <w:pStyle w:val="ModlesEn-tte2"/>
      </w:pPr>
      <w:bookmarkStart w:id="1" w:name="_Toc413070254"/>
      <w:r w:rsidRPr="00BE1EBA">
        <w:t>1.1</w:t>
      </w:r>
      <w:r w:rsidRPr="00BE1EBA">
        <w:tab/>
        <w:t>Introduction</w:t>
      </w:r>
      <w:bookmarkEnd w:id="1"/>
    </w:p>
    <w:p w:rsidR="00B24B16" w:rsidRPr="00BE1EBA" w:rsidRDefault="00B24B16">
      <w:pPr>
        <w:pStyle w:val="DefaultText"/>
      </w:pPr>
      <w:r w:rsidRPr="00BE1EBA">
        <w:t>La demande d</w:t>
      </w:r>
      <w:r w:rsidR="00812400" w:rsidRPr="00BE1EBA">
        <w:t>’</w:t>
      </w:r>
      <w:r w:rsidRPr="00BE1EBA">
        <w:t>arrangements en matière d</w:t>
      </w:r>
      <w:r w:rsidR="00812400" w:rsidRPr="00BE1EBA">
        <w:t>’</w:t>
      </w:r>
      <w:r w:rsidRPr="00BE1EBA">
        <w:t>approvisionnement (DAMA) contient six parties, ainsi que des pièces jointes, des annexes, des appendices, et elle est divisée comme suit :</w:t>
      </w:r>
    </w:p>
    <w:p w:rsidR="00B24B16" w:rsidRPr="00BE1EBA" w:rsidRDefault="00B24B16" w:rsidP="008E4967">
      <w:pPr>
        <w:pStyle w:val="DefaultText"/>
        <w:tabs>
          <w:tab w:val="left" w:pos="993"/>
        </w:tabs>
        <w:ind w:left="992" w:hanging="992"/>
      </w:pPr>
      <w:r w:rsidRPr="00BE1EBA">
        <w:t>Partie 1</w:t>
      </w:r>
      <w:r w:rsidRPr="00BE1EBA">
        <w:tab/>
      </w:r>
      <w:r w:rsidRPr="00BE1EBA">
        <w:tab/>
        <w:t>Renseignements généraux: renferme une description générale du besoin;</w:t>
      </w:r>
    </w:p>
    <w:p w:rsidR="00B24B16" w:rsidRPr="00BE1EBA" w:rsidRDefault="00B24B16" w:rsidP="002B1EE5">
      <w:pPr>
        <w:pStyle w:val="DefaultText"/>
        <w:tabs>
          <w:tab w:val="left" w:pos="993"/>
        </w:tabs>
        <w:ind w:left="993" w:hanging="993"/>
      </w:pPr>
      <w:r w:rsidRPr="00BE1EBA">
        <w:t>Partie 2</w:t>
      </w:r>
      <w:r w:rsidRPr="00BE1EBA">
        <w:tab/>
        <w:t>Instructions à l</w:t>
      </w:r>
      <w:r w:rsidR="00812400" w:rsidRPr="00BE1EBA">
        <w:t>’</w:t>
      </w:r>
      <w:r w:rsidRPr="00BE1EBA">
        <w:t>intention des fournisseurs: renferme les instructions relatives aux clauses et conditions de la DAMA;</w:t>
      </w:r>
    </w:p>
    <w:p w:rsidR="00B24B16" w:rsidRPr="00BE1EBA" w:rsidRDefault="00B24B16" w:rsidP="002B1EE5">
      <w:pPr>
        <w:pStyle w:val="DefaultText"/>
        <w:tabs>
          <w:tab w:val="left" w:pos="993"/>
        </w:tabs>
        <w:ind w:left="993" w:hanging="993"/>
      </w:pPr>
      <w:r w:rsidRPr="00BE1EBA">
        <w:t>Partie 3</w:t>
      </w:r>
      <w:r w:rsidRPr="00BE1EBA">
        <w:tab/>
        <w:t>Instructions pour la préparation des arrangements: donne aux fournisseurs les instructions pour préparer l</w:t>
      </w:r>
      <w:r w:rsidR="00812400" w:rsidRPr="00BE1EBA">
        <w:t>’</w:t>
      </w:r>
      <w:r w:rsidRPr="00BE1EBA">
        <w:t>arrangement afin de répondre aux critères d</w:t>
      </w:r>
      <w:r w:rsidR="00812400" w:rsidRPr="00BE1EBA">
        <w:t>’</w:t>
      </w:r>
      <w:r w:rsidRPr="00BE1EBA">
        <w:t>évaluation spécifiés;</w:t>
      </w:r>
    </w:p>
    <w:p w:rsidR="00B24B16" w:rsidRPr="00BE1EBA" w:rsidRDefault="00B24B16" w:rsidP="008E4967">
      <w:pPr>
        <w:pStyle w:val="DefaultText"/>
        <w:ind w:left="992" w:hanging="992"/>
      </w:pPr>
      <w:r w:rsidRPr="00BE1EBA">
        <w:t>Partie 4</w:t>
      </w:r>
      <w:r w:rsidRPr="00BE1EBA">
        <w:tab/>
        <w:t>Procédures d</w:t>
      </w:r>
      <w:r w:rsidR="00812400" w:rsidRPr="00BE1EBA">
        <w:t>’</w:t>
      </w:r>
      <w:r w:rsidRPr="00BE1EBA">
        <w:t>évaluation et Méthode de sélection: décrit la façon selon laquelle se déroulera l</w:t>
      </w:r>
      <w:r w:rsidR="00812400" w:rsidRPr="00BE1EBA">
        <w:t>’</w:t>
      </w:r>
      <w:r w:rsidRPr="00BE1EBA">
        <w:t>évaluation, les critères d</w:t>
      </w:r>
      <w:r w:rsidR="00812400" w:rsidRPr="00BE1EBA">
        <w:t>’</w:t>
      </w:r>
      <w:r w:rsidRPr="00BE1EBA">
        <w:t>évaluation auxquels on doit répondre</w:t>
      </w:r>
      <w:r w:rsidR="002A6210" w:rsidRPr="00BE1EBA">
        <w:t xml:space="preserve"> </w:t>
      </w:r>
      <w:r w:rsidRPr="00BE1EBA">
        <w:t>ainsi que la méthode de sélection;</w:t>
      </w:r>
    </w:p>
    <w:p w:rsidR="00B24B16" w:rsidRPr="00BE1EBA" w:rsidRDefault="00B24B16" w:rsidP="008E4967">
      <w:pPr>
        <w:pStyle w:val="DefaultText"/>
        <w:ind w:left="992" w:hanging="992"/>
      </w:pPr>
      <w:r w:rsidRPr="00BE1EBA">
        <w:t>Partie 5</w:t>
      </w:r>
      <w:r w:rsidRPr="00BE1EBA">
        <w:tab/>
        <w:t>Attestations: comprend les attestations à fournir; et</w:t>
      </w:r>
    </w:p>
    <w:p w:rsidR="00B24B16" w:rsidRPr="00BE1EBA" w:rsidRDefault="00B24B16" w:rsidP="008E4967">
      <w:pPr>
        <w:pStyle w:val="DefaultText"/>
        <w:ind w:left="992" w:hanging="992"/>
      </w:pPr>
      <w:r w:rsidRPr="00BE1EBA">
        <w:t xml:space="preserve">Partie 6 </w:t>
      </w:r>
      <w:r w:rsidRPr="00BE1EBA">
        <w:tab/>
        <w:t>6A, Arrangement en matière d</w:t>
      </w:r>
      <w:r w:rsidR="00812400" w:rsidRPr="00BE1EBA">
        <w:t>’</w:t>
      </w:r>
      <w:r w:rsidRPr="00BE1EBA">
        <w:t>approvisionnements, 6B, Demandes de soumissions, et 6C, Clauses du contrat subséquent:</w:t>
      </w:r>
    </w:p>
    <w:p w:rsidR="00B24B16" w:rsidRPr="00BE1EBA" w:rsidRDefault="00B24B16" w:rsidP="008E4967">
      <w:pPr>
        <w:pStyle w:val="DefaultText"/>
        <w:ind w:left="992"/>
      </w:pPr>
      <w:r w:rsidRPr="00BE1EBA">
        <w:t>6A, contient l</w:t>
      </w:r>
      <w:r w:rsidR="00812400" w:rsidRPr="00BE1EBA">
        <w:t>’</w:t>
      </w:r>
      <w:r w:rsidRPr="00BE1EBA">
        <w:t>arrangement en matière d</w:t>
      </w:r>
      <w:r w:rsidR="00812400" w:rsidRPr="00BE1EBA">
        <w:t>’</w:t>
      </w:r>
      <w:r w:rsidRPr="00BE1EBA">
        <w:t>approvisionnement (AMA) et les clauses et conditions applicables;</w:t>
      </w:r>
    </w:p>
    <w:p w:rsidR="00B24B16" w:rsidRPr="00BE1EBA" w:rsidRDefault="00B24B16" w:rsidP="008E4967">
      <w:pPr>
        <w:pStyle w:val="DefaultText"/>
        <w:ind w:left="992"/>
      </w:pPr>
      <w:r w:rsidRPr="00BE1EBA">
        <w:t>6B, contient les instructions du processus de demande de soumissions dans le cadre d</w:t>
      </w:r>
      <w:r w:rsidR="00812400" w:rsidRPr="00BE1EBA">
        <w:t>’</w:t>
      </w:r>
      <w:r w:rsidRPr="00BE1EBA">
        <w:t>un (AMA);</w:t>
      </w:r>
    </w:p>
    <w:p w:rsidR="00B24B16" w:rsidRDefault="00B24B16" w:rsidP="008E4967">
      <w:pPr>
        <w:pStyle w:val="DefaultText"/>
        <w:ind w:leftChars="496" w:left="992" w:firstLine="1"/>
      </w:pPr>
      <w:r w:rsidRPr="00BE1EBA">
        <w:t>6C, contient des renseignements généraux pour les conditions des modèles de contrat uniformisés émis suite à un AMA.</w:t>
      </w:r>
    </w:p>
    <w:p w:rsidR="00FA2F4F" w:rsidRPr="00BE1EBA" w:rsidRDefault="00FA2F4F" w:rsidP="00E64602">
      <w:r w:rsidRPr="00BE1EBA">
        <w:t xml:space="preserve">Les annexes comprennent le besoin, le </w:t>
      </w:r>
      <w:r w:rsidR="00E64602" w:rsidRPr="00BE1EBA">
        <w:t>Catalogue des produits et services destinés aux postes de travail et prix</w:t>
      </w:r>
      <w:r w:rsidR="006E20A0">
        <w:t xml:space="preserve"> </w:t>
      </w:r>
      <w:r w:rsidRPr="00BE1EBA">
        <w:t>du gouvernement du Canada, les rapports, le Guide sur les modalités d</w:t>
      </w:r>
      <w:r w:rsidR="00812400" w:rsidRPr="00BE1EBA">
        <w:t>’</w:t>
      </w:r>
      <w:r w:rsidRPr="00BE1EBA">
        <w:t xml:space="preserve">aménagement des </w:t>
      </w:r>
      <w:r w:rsidR="00A77994" w:rsidRPr="00BE1EBA">
        <w:t>postes de travail</w:t>
      </w:r>
      <w:r w:rsidRPr="00BE1EBA">
        <w:t xml:space="preserve"> et le Modèle d</w:t>
      </w:r>
      <w:r w:rsidR="00812400" w:rsidRPr="00BE1EBA">
        <w:t>’</w:t>
      </w:r>
      <w:r w:rsidRPr="00BE1EBA">
        <w:t>invitation à soumissionner et de contrat subséquent.</w:t>
      </w:r>
    </w:p>
    <w:p w:rsidR="00FA2F4F" w:rsidRPr="00BE1EBA" w:rsidRDefault="00FA2F4F" w:rsidP="00E64602">
      <w:r w:rsidRPr="00BE1EBA">
        <w:t>Les appendices comprennent la portée des travaux du fournisseur et les produits livrables de la demande d</w:t>
      </w:r>
      <w:r w:rsidR="00812400" w:rsidRPr="00BE1EBA">
        <w:t>’</w:t>
      </w:r>
      <w:r w:rsidRPr="00BE1EBA">
        <w:t>arrangements en matière d</w:t>
      </w:r>
      <w:r w:rsidR="00812400" w:rsidRPr="00BE1EBA">
        <w:t>’</w:t>
      </w:r>
      <w:r w:rsidRPr="00BE1EBA">
        <w:t>approvisionnement (DAMA).</w:t>
      </w:r>
    </w:p>
    <w:p w:rsidR="00FA2F4F" w:rsidRPr="00BE1EBA" w:rsidRDefault="00FA2F4F" w:rsidP="00232778">
      <w:pPr>
        <w:pStyle w:val="ModlesEn-tte2"/>
      </w:pPr>
      <w:bookmarkStart w:id="2" w:name="_Toc413070255"/>
      <w:r w:rsidRPr="00BE1EBA">
        <w:t>1.2</w:t>
      </w:r>
      <w:r w:rsidRPr="00BE1EBA">
        <w:tab/>
        <w:t>Résumé</w:t>
      </w:r>
      <w:bookmarkEnd w:id="2"/>
    </w:p>
    <w:p w:rsidR="00FA2F4F" w:rsidRPr="00BE1EBA" w:rsidRDefault="00FA2F4F" w:rsidP="005F083B">
      <w:pPr>
        <w:pStyle w:val="ModlesEn-tte3"/>
      </w:pPr>
      <w:r w:rsidRPr="00BE1EBA">
        <w:t>1.2.1.</w:t>
      </w:r>
      <w:r w:rsidRPr="00BE1EBA">
        <w:tab/>
        <w:t>La DAMA concerne deux processus d</w:t>
      </w:r>
      <w:r w:rsidR="00812400" w:rsidRPr="00BE1EBA">
        <w:t>’</w:t>
      </w:r>
      <w:r w:rsidRPr="00BE1EBA">
        <w:t>appel d</w:t>
      </w:r>
      <w:r w:rsidR="00812400" w:rsidRPr="00BE1EBA">
        <w:t>’</w:t>
      </w:r>
      <w:r w:rsidRPr="00BE1EBA">
        <w:t>offres distincts :</w:t>
      </w:r>
    </w:p>
    <w:p w:rsidR="00FA2F4F" w:rsidRPr="00BE1EBA" w:rsidRDefault="00FA2F4F" w:rsidP="00D76919">
      <w:pPr>
        <w:pStyle w:val="NormalWeb"/>
        <w:numPr>
          <w:ilvl w:val="0"/>
          <w:numId w:val="1"/>
        </w:numPr>
        <w:tabs>
          <w:tab w:val="clear" w:pos="0"/>
          <w:tab w:val="left" w:pos="1134"/>
        </w:tabs>
        <w:ind w:left="1134" w:hanging="567"/>
      </w:pPr>
      <w:r w:rsidRPr="00BE1EBA">
        <w:t>Les fournisseurs autochtones qui souhaitent présenter un arrangement dans le cadre de la Stratégie d</w:t>
      </w:r>
      <w:r w:rsidR="00812400" w:rsidRPr="00BE1EBA">
        <w:t>’</w:t>
      </w:r>
      <w:r w:rsidRPr="00BE1EBA">
        <w:t>approvisionnement auprès des entreprises autochtones (SAEA). Aux fins de la DAMA, ce processus est désigné par les termes « SAEA », « fournisseurs visés par la SAEA » ou « processus de la SAEA »;</w:t>
      </w:r>
    </w:p>
    <w:p w:rsidR="006A3D1F" w:rsidRPr="00BE1EBA" w:rsidRDefault="006A3D1F" w:rsidP="006A3D1F">
      <w:pPr>
        <w:pStyle w:val="Style3"/>
      </w:pPr>
      <w:r w:rsidRPr="00BE1EBA">
        <w:t>Les fournisseurs visés par la SAEA doivent être en mesure de fournir les biens et les services dans l</w:t>
      </w:r>
      <w:r w:rsidR="00812400" w:rsidRPr="00BE1EBA">
        <w:t>’</w:t>
      </w:r>
      <w:r w:rsidRPr="00BE1EBA">
        <w:t>ensemble du Canada (à l</w:t>
      </w:r>
      <w:r w:rsidR="00812400" w:rsidRPr="00BE1EBA">
        <w:t>’</w:t>
      </w:r>
      <w:r w:rsidRPr="00BE1EBA">
        <w:t>échelle nationale) ou dans au moins une région du Canada. Les fournisseurs généraux doivent être en mesure de fournir les biens et services dans l</w:t>
      </w:r>
      <w:r w:rsidR="00812400" w:rsidRPr="00BE1EBA">
        <w:t>’</w:t>
      </w:r>
      <w:r w:rsidRPr="00BE1EBA">
        <w:t>ensemble du Canada (à l</w:t>
      </w:r>
      <w:r w:rsidR="00812400" w:rsidRPr="00BE1EBA">
        <w:t>’</w:t>
      </w:r>
      <w:r w:rsidRPr="00BE1EBA">
        <w:t>échelle nationale).</w:t>
      </w:r>
    </w:p>
    <w:p w:rsidR="00FA2F4F" w:rsidRPr="00BE1EBA" w:rsidRDefault="00FA2F4F" w:rsidP="00FA2F4F">
      <w:pPr>
        <w:pStyle w:val="Style1"/>
      </w:pPr>
      <w:r w:rsidRPr="00BE1EBA">
        <w:t>1.2.2</w:t>
      </w:r>
      <w:r w:rsidRPr="00BE1EBA">
        <w:tab/>
        <w:t>Travaux publics et Services gouvernementaux Canada (TPSGC) a l</w:t>
      </w:r>
      <w:r w:rsidR="00812400" w:rsidRPr="00BE1EBA">
        <w:t>’</w:t>
      </w:r>
      <w:r w:rsidRPr="00BE1EBA">
        <w:t>intention d</w:t>
      </w:r>
      <w:r w:rsidR="00812400" w:rsidRPr="00BE1EBA">
        <w:t>’</w:t>
      </w:r>
      <w:r w:rsidRPr="00BE1EBA">
        <w:t>établir des arrangements en matière d</w:t>
      </w:r>
      <w:r w:rsidR="00812400" w:rsidRPr="00BE1EBA">
        <w:t>’</w:t>
      </w:r>
      <w:r w:rsidRPr="00BE1EBA">
        <w:t>approvisionnement (AMA) visant l</w:t>
      </w:r>
      <w:r w:rsidR="00812400" w:rsidRPr="00BE1EBA">
        <w:t>’</w:t>
      </w:r>
      <w:r w:rsidRPr="00BE1EBA">
        <w:t>achat, la livraison et l</w:t>
      </w:r>
      <w:r w:rsidR="00812400" w:rsidRPr="00BE1EBA">
        <w:t>’</w:t>
      </w:r>
      <w:r w:rsidRPr="00BE1EBA">
        <w:t xml:space="preserve">installation du mobilier destiné aux </w:t>
      </w:r>
      <w:r w:rsidR="00A77994" w:rsidRPr="00BE1EBA">
        <w:t>postes de travail</w:t>
      </w:r>
      <w:r w:rsidRPr="00BE1EBA">
        <w:t xml:space="preserve"> et de services liés aux produits décrits dans la DAMA. Ils seront destinés à tout représentant autorisé d</w:t>
      </w:r>
      <w:r w:rsidR="00812400" w:rsidRPr="00BE1EBA">
        <w:t>’</w:t>
      </w:r>
      <w:r w:rsidRPr="00BE1EBA">
        <w:t>un ministère, d</w:t>
      </w:r>
      <w:r w:rsidR="00812400" w:rsidRPr="00BE1EBA">
        <w:t>’</w:t>
      </w:r>
      <w:r w:rsidRPr="00BE1EBA">
        <w:t>un organisme gouvernemental ou d</w:t>
      </w:r>
      <w:r w:rsidR="00812400" w:rsidRPr="00BE1EBA">
        <w:t>’</w:t>
      </w:r>
      <w:r w:rsidRPr="00BE1EBA">
        <w:t>une société d</w:t>
      </w:r>
      <w:r w:rsidR="00812400" w:rsidRPr="00BE1EBA">
        <w:t>’</w:t>
      </w:r>
      <w:r w:rsidRPr="00BE1EBA">
        <w:t>État figurant à l</w:t>
      </w:r>
      <w:r w:rsidR="00812400" w:rsidRPr="00BE1EBA">
        <w:t>’</w:t>
      </w:r>
      <w:r w:rsidRPr="00BE1EBA">
        <w:t xml:space="preserve">Annexe I, I.1, II ou III de la </w:t>
      </w:r>
      <w:r w:rsidRPr="00BE1EBA">
        <w:rPr>
          <w:i/>
        </w:rPr>
        <w:t>Loi sur la gestion des finances publiques</w:t>
      </w:r>
      <w:r w:rsidRPr="00BE1EBA">
        <w:t xml:space="preserve"> (L.R.C. [1985], ch. F</w:t>
      </w:r>
      <w:r w:rsidR="003262E1" w:rsidRPr="00BE1EBA">
        <w:t>­</w:t>
      </w:r>
      <w:r w:rsidRPr="00BE1EBA">
        <w:t>11), selon la demande.</w:t>
      </w:r>
    </w:p>
    <w:p w:rsidR="006A3D1F" w:rsidRPr="00BE1EBA" w:rsidRDefault="006A3D1F" w:rsidP="000822E2">
      <w:pPr>
        <w:pStyle w:val="NormalWeb"/>
        <w:tabs>
          <w:tab w:val="clear" w:pos="0"/>
          <w:tab w:val="left" w:pos="567"/>
        </w:tabs>
        <w:spacing w:before="0" w:beforeAutospacing="0" w:after="0" w:afterAutospacing="0"/>
        <w:ind w:left="562" w:hanging="562"/>
      </w:pPr>
    </w:p>
    <w:p w:rsidR="006A3D1F" w:rsidRPr="00BE1EBA" w:rsidRDefault="006A3D1F" w:rsidP="000822E2">
      <w:pPr>
        <w:pStyle w:val="NormalWeb"/>
        <w:tabs>
          <w:tab w:val="clear" w:pos="0"/>
          <w:tab w:val="left" w:pos="567"/>
        </w:tabs>
        <w:spacing w:before="0" w:beforeAutospacing="0" w:after="0" w:afterAutospacing="0"/>
        <w:ind w:left="562" w:hanging="562"/>
      </w:pPr>
    </w:p>
    <w:p w:rsidR="00FA2F4F" w:rsidRPr="00BE1EBA" w:rsidRDefault="00FA2F4F" w:rsidP="00FA2F4F">
      <w:pPr>
        <w:pStyle w:val="NormalWeb"/>
        <w:tabs>
          <w:tab w:val="clear" w:pos="0"/>
          <w:tab w:val="left" w:pos="567"/>
        </w:tabs>
        <w:ind w:left="567" w:hanging="567"/>
        <w:rPr>
          <w:rStyle w:val="Style1Char"/>
        </w:rPr>
      </w:pPr>
      <w:r w:rsidRPr="00BE1EBA">
        <w:lastRenderedPageBreak/>
        <w:t>1.2.3</w:t>
      </w:r>
      <w:r w:rsidRPr="00BE1EBA">
        <w:tab/>
      </w:r>
      <w:r w:rsidRPr="00BE1EBA">
        <w:rPr>
          <w:rStyle w:val="Style1Char"/>
        </w:rPr>
        <w:t xml:space="preserve">Les </w:t>
      </w:r>
      <w:r w:rsidR="00A77994" w:rsidRPr="00BE1EBA">
        <w:rPr>
          <w:rStyle w:val="Style1Char"/>
        </w:rPr>
        <w:t>postes de travail</w:t>
      </w:r>
      <w:r w:rsidRPr="00BE1EBA">
        <w:rPr>
          <w:rStyle w:val="Style1Char"/>
        </w:rPr>
        <w:t xml:space="preserve"> comprennent les cinq catégories suivantes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724"/>
        <w:gridCol w:w="1724"/>
        <w:gridCol w:w="1724"/>
        <w:gridCol w:w="1724"/>
      </w:tblGrid>
      <w:tr w:rsidR="00FA2F4F" w:rsidRPr="00BE1EBA" w:rsidTr="00C46B82">
        <w:tc>
          <w:tcPr>
            <w:tcW w:w="1915" w:type="dxa"/>
          </w:tcPr>
          <w:p w:rsidR="00FA2F4F" w:rsidRPr="00BE1EBA" w:rsidRDefault="00FA2F4F" w:rsidP="00C46B82">
            <w:pPr>
              <w:pStyle w:val="NormalWeb"/>
              <w:jc w:val="center"/>
              <w:rPr>
                <w:b/>
              </w:rPr>
            </w:pPr>
            <w:r w:rsidRPr="00BE1EBA">
              <w:rPr>
                <w:b/>
              </w:rPr>
              <w:t>Catégorie 1</w:t>
            </w:r>
          </w:p>
        </w:tc>
        <w:tc>
          <w:tcPr>
            <w:tcW w:w="1915" w:type="dxa"/>
          </w:tcPr>
          <w:p w:rsidR="00FA2F4F" w:rsidRPr="00BE1EBA" w:rsidRDefault="00FA2F4F" w:rsidP="00C46B82">
            <w:pPr>
              <w:pStyle w:val="NormalWeb"/>
              <w:jc w:val="center"/>
              <w:rPr>
                <w:b/>
              </w:rPr>
            </w:pPr>
            <w:r w:rsidRPr="00BE1EBA">
              <w:rPr>
                <w:b/>
              </w:rPr>
              <w:t>Catégorie 2</w:t>
            </w:r>
          </w:p>
        </w:tc>
        <w:tc>
          <w:tcPr>
            <w:tcW w:w="1915" w:type="dxa"/>
          </w:tcPr>
          <w:p w:rsidR="00FA2F4F" w:rsidRPr="00BE1EBA" w:rsidRDefault="00FA2F4F" w:rsidP="00C46B82">
            <w:pPr>
              <w:pStyle w:val="NormalWeb"/>
              <w:jc w:val="center"/>
              <w:rPr>
                <w:b/>
              </w:rPr>
            </w:pPr>
            <w:r w:rsidRPr="00BE1EBA">
              <w:rPr>
                <w:b/>
              </w:rPr>
              <w:t>Catégorie 3</w:t>
            </w:r>
          </w:p>
        </w:tc>
        <w:tc>
          <w:tcPr>
            <w:tcW w:w="1915" w:type="dxa"/>
          </w:tcPr>
          <w:p w:rsidR="00FA2F4F" w:rsidRPr="00BE1EBA" w:rsidRDefault="00FA2F4F" w:rsidP="00C46B82">
            <w:pPr>
              <w:pStyle w:val="NormalWeb"/>
              <w:jc w:val="center"/>
              <w:rPr>
                <w:b/>
              </w:rPr>
            </w:pPr>
            <w:r w:rsidRPr="00BE1EBA">
              <w:rPr>
                <w:b/>
              </w:rPr>
              <w:t>Catégorie 4</w:t>
            </w:r>
          </w:p>
        </w:tc>
        <w:tc>
          <w:tcPr>
            <w:tcW w:w="1916" w:type="dxa"/>
          </w:tcPr>
          <w:p w:rsidR="00FA2F4F" w:rsidRPr="00BE1EBA" w:rsidRDefault="00FA2F4F" w:rsidP="00C46B82">
            <w:pPr>
              <w:pStyle w:val="NormalWeb"/>
              <w:jc w:val="center"/>
              <w:rPr>
                <w:b/>
              </w:rPr>
            </w:pPr>
            <w:r w:rsidRPr="00BE1EBA">
              <w:rPr>
                <w:b/>
              </w:rPr>
              <w:t>Catégorie 5</w:t>
            </w:r>
          </w:p>
        </w:tc>
      </w:tr>
      <w:tr w:rsidR="00FA2F4F" w:rsidRPr="00BE1EBA" w:rsidTr="00C46B82">
        <w:tc>
          <w:tcPr>
            <w:tcW w:w="1915" w:type="dxa"/>
          </w:tcPr>
          <w:p w:rsidR="00FA2F4F" w:rsidRPr="00BE1EBA" w:rsidRDefault="00FA2F4F" w:rsidP="00C46B82">
            <w:pPr>
              <w:pStyle w:val="NormalWeb"/>
            </w:pPr>
            <w:r w:rsidRPr="00BE1EBA">
              <w:t>Cloisons interraccordables et systèmes autostables</w:t>
            </w:r>
          </w:p>
        </w:tc>
        <w:tc>
          <w:tcPr>
            <w:tcW w:w="1915" w:type="dxa"/>
          </w:tcPr>
          <w:p w:rsidR="00FA2F4F" w:rsidRPr="00BE1EBA" w:rsidRDefault="00FA2F4F" w:rsidP="00C46B82">
            <w:pPr>
              <w:pStyle w:val="NormalWeb"/>
            </w:pPr>
            <w:r w:rsidRPr="00BE1EBA">
              <w:t>Tables ou bureaux autostables à hauteur réglable</w:t>
            </w:r>
          </w:p>
        </w:tc>
        <w:tc>
          <w:tcPr>
            <w:tcW w:w="1915" w:type="dxa"/>
          </w:tcPr>
          <w:p w:rsidR="00FA2F4F" w:rsidRPr="00BE1EBA" w:rsidRDefault="00FA2F4F" w:rsidP="00C46B82">
            <w:pPr>
              <w:pStyle w:val="NormalWeb"/>
            </w:pPr>
            <w:r w:rsidRPr="00BE1EBA">
              <w:t>Classeurs et armoires de rangement métalliques</w:t>
            </w:r>
          </w:p>
        </w:tc>
        <w:tc>
          <w:tcPr>
            <w:tcW w:w="1915" w:type="dxa"/>
          </w:tcPr>
          <w:p w:rsidR="00FA2F4F" w:rsidRPr="00BE1EBA" w:rsidRDefault="00FA2F4F" w:rsidP="00C46B82">
            <w:pPr>
              <w:pStyle w:val="NormalWeb"/>
            </w:pPr>
            <w:r w:rsidRPr="00BE1EBA">
              <w:t>Produits autostables en placage de bois</w:t>
            </w:r>
          </w:p>
        </w:tc>
        <w:tc>
          <w:tcPr>
            <w:tcW w:w="1916" w:type="dxa"/>
          </w:tcPr>
          <w:p w:rsidR="00FA2F4F" w:rsidRPr="00BE1EBA" w:rsidRDefault="00FA2F4F" w:rsidP="00C46B82">
            <w:pPr>
              <w:pStyle w:val="NormalWeb"/>
            </w:pPr>
            <w:r w:rsidRPr="00BE1EBA">
              <w:t>Accessoires et appareils d</w:t>
            </w:r>
            <w:r w:rsidR="00812400" w:rsidRPr="00BE1EBA">
              <w:t>’</w:t>
            </w:r>
            <w:r w:rsidRPr="00BE1EBA">
              <w:t>éclairage</w:t>
            </w:r>
          </w:p>
        </w:tc>
      </w:tr>
    </w:tbl>
    <w:p w:rsidR="00FA2F4F" w:rsidRDefault="00FA2F4F" w:rsidP="00FA2F4F">
      <w:pPr>
        <w:pStyle w:val="Style2"/>
      </w:pPr>
    </w:p>
    <w:p w:rsidR="004A5581" w:rsidRPr="003805F4" w:rsidRDefault="004A5581" w:rsidP="006E20A0">
      <w:pPr>
        <w:pStyle w:val="Style2"/>
        <w:tabs>
          <w:tab w:val="clear" w:pos="1134"/>
          <w:tab w:val="left" w:pos="0"/>
        </w:tabs>
        <w:ind w:left="0" w:firstLine="0"/>
      </w:pPr>
      <w:r w:rsidRPr="003805F4">
        <w:t xml:space="preserve">Les soumissionnaires ne sont pas tenus de proposer un prix pour tous les produits ou les </w:t>
      </w:r>
      <w:r w:rsidR="00B22303" w:rsidRPr="003805F4">
        <w:t>services liés aux produits </w:t>
      </w:r>
      <w:r w:rsidRPr="003805F4">
        <w:t xml:space="preserve">identifiés dans la demande </w:t>
      </w:r>
      <w:r w:rsidR="00FC7524" w:rsidRPr="003805F4">
        <w:t>afin de recevoir un arrangement en matière</w:t>
      </w:r>
      <w:r w:rsidRPr="003805F4">
        <w:t xml:space="preserve"> d’approvisionnement. La livraison et l’installation</w:t>
      </w:r>
      <w:r w:rsidR="003805F4" w:rsidRPr="003805F4">
        <w:t xml:space="preserve"> doit être inclue lorsque identifié</w:t>
      </w:r>
      <w:r w:rsidR="00FC7524" w:rsidRPr="003805F4">
        <w:t xml:space="preserve"> dans </w:t>
      </w:r>
      <w:r w:rsidR="007A7365" w:rsidRPr="003805F4">
        <w:t>les invitations</w:t>
      </w:r>
      <w:r w:rsidR="00685AF4" w:rsidRPr="003805F4">
        <w:t xml:space="preserve"> à soumissionner et les</w:t>
      </w:r>
      <w:r w:rsidR="007A7365" w:rsidRPr="003805F4">
        <w:t xml:space="preserve"> contrat</w:t>
      </w:r>
      <w:r w:rsidR="00685AF4" w:rsidRPr="003805F4">
        <w:t>s</w:t>
      </w:r>
      <w:r w:rsidR="007A7365" w:rsidRPr="003805F4">
        <w:t xml:space="preserve"> subséquent</w:t>
      </w:r>
      <w:r w:rsidR="00685AF4" w:rsidRPr="003805F4">
        <w:t>s</w:t>
      </w:r>
      <w:r w:rsidRPr="003805F4">
        <w:t>.</w:t>
      </w:r>
    </w:p>
    <w:p w:rsidR="00FA2F4F" w:rsidRPr="00BE1EBA" w:rsidRDefault="00FA2F4F" w:rsidP="00FA2F4F">
      <w:pPr>
        <w:tabs>
          <w:tab w:val="left" w:pos="567"/>
        </w:tabs>
        <w:ind w:left="567" w:hanging="567"/>
      </w:pPr>
      <w:r w:rsidRPr="003805F4">
        <w:t>1.2.4</w:t>
      </w:r>
      <w:r w:rsidRPr="003805F4">
        <w:tab/>
        <w:t>Une conférence des soumissionnaires</w:t>
      </w:r>
      <w:r w:rsidRPr="00BE1EBA">
        <w:t xml:space="preserve"> est associée à la présente DAMA.</w:t>
      </w:r>
    </w:p>
    <w:p w:rsidR="00FA2F4F" w:rsidRPr="00BE1EBA" w:rsidRDefault="00FA2F4F" w:rsidP="00FA2F4F">
      <w:pPr>
        <w:tabs>
          <w:tab w:val="left" w:pos="567"/>
        </w:tabs>
        <w:ind w:left="567" w:hanging="567"/>
      </w:pPr>
      <w:r w:rsidRPr="00BE1EBA">
        <w:t>1.2.5</w:t>
      </w:r>
      <w:r w:rsidRPr="00BE1EBA">
        <w:tab/>
        <w:t>Deux processus d</w:t>
      </w:r>
      <w:r w:rsidR="00812400" w:rsidRPr="00BE1EBA">
        <w:t>’</w:t>
      </w:r>
      <w:r w:rsidRPr="00BE1EBA">
        <w:t>arrangements en matière d</w:t>
      </w:r>
      <w:r w:rsidR="00812400" w:rsidRPr="00BE1EBA">
        <w:t>’</w:t>
      </w:r>
      <w:r w:rsidRPr="00BE1EBA">
        <w:t>approvisionnement (AMA) suivants peuvent être déclenchés conformément à la présente invitation à soumissionner :</w:t>
      </w:r>
    </w:p>
    <w:p w:rsidR="00FA2F4F" w:rsidRPr="00BE1EBA" w:rsidRDefault="00FA2F4F" w:rsidP="00FA2F4F">
      <w:pPr>
        <w:tabs>
          <w:tab w:val="left" w:pos="1134"/>
        </w:tabs>
        <w:ind w:left="1134" w:hanging="567"/>
      </w:pPr>
      <w:r w:rsidRPr="00BE1EBA">
        <w:t>a.</w:t>
      </w:r>
      <w:r w:rsidRPr="00BE1EBA">
        <w:tab/>
        <w:t xml:space="preserve">un processus de SAEA </w:t>
      </w:r>
    </w:p>
    <w:p w:rsidR="00FA2F4F" w:rsidRPr="00BE1EBA" w:rsidRDefault="00FA2F4F" w:rsidP="00FA2F4F">
      <w:pPr>
        <w:tabs>
          <w:tab w:val="left" w:pos="1134"/>
        </w:tabs>
        <w:ind w:left="1134" w:hanging="567"/>
      </w:pPr>
      <w:r w:rsidRPr="00BE1EBA">
        <w:t xml:space="preserve">b. </w:t>
      </w:r>
      <w:r w:rsidRPr="00BE1EBA">
        <w:tab/>
        <w:t>un processus général</w:t>
      </w:r>
    </w:p>
    <w:p w:rsidR="00FA2F4F" w:rsidRPr="00BE1EBA" w:rsidRDefault="00FA2F4F" w:rsidP="00FA2F4F">
      <w:pPr>
        <w:tabs>
          <w:tab w:val="left" w:pos="567"/>
        </w:tabs>
      </w:pPr>
      <w:r w:rsidRPr="00BE1EBA">
        <w:t>1.2.6</w:t>
      </w:r>
      <w:r w:rsidRPr="00BE1EBA">
        <w:tab/>
        <w:t xml:space="preserve">Un seul AMA sera attribué par processus aux fournisseurs. </w:t>
      </w:r>
    </w:p>
    <w:p w:rsidR="00FA2F4F" w:rsidRPr="00BE1EBA" w:rsidRDefault="00FA2F4F" w:rsidP="00FA2F4F">
      <w:pPr>
        <w:tabs>
          <w:tab w:val="left" w:pos="567"/>
        </w:tabs>
      </w:pPr>
      <w:r w:rsidRPr="00BE1EBA">
        <w:t>1.2.7</w:t>
      </w:r>
      <w:r w:rsidRPr="00BE1EBA">
        <w:tab/>
        <w:t>Durée de l</w:t>
      </w:r>
      <w:r w:rsidR="00812400" w:rsidRPr="00BE1EBA">
        <w:t>’</w:t>
      </w:r>
      <w:r w:rsidRPr="00BE1EBA">
        <w:t>AMA</w:t>
      </w:r>
    </w:p>
    <w:p w:rsidR="00FA2F4F" w:rsidRPr="00BE1EBA" w:rsidRDefault="00FA2F4F" w:rsidP="00FA2F4F">
      <w:pPr>
        <w:pStyle w:val="NormalWeb"/>
      </w:pPr>
      <w:r w:rsidRPr="00BE1EBA">
        <w:t>L</w:t>
      </w:r>
      <w:r w:rsidR="00812400" w:rsidRPr="00BE1EBA">
        <w:t>’</w:t>
      </w:r>
      <w:r w:rsidRPr="00BE1EBA">
        <w:t>AMA subséquent n</w:t>
      </w:r>
      <w:r w:rsidR="00812400" w:rsidRPr="00BE1EBA">
        <w:t>’</w:t>
      </w:r>
      <w:r w:rsidRPr="00BE1EBA">
        <w:t>a pas de date de fin définie et demeurera en vigueur tant et aussi longtemps que le Canada le jugera utile.</w:t>
      </w:r>
    </w:p>
    <w:p w:rsidR="00FA2F4F" w:rsidRPr="00BE1EBA" w:rsidRDefault="00FA2F4F" w:rsidP="00FA2F4F">
      <w:pPr>
        <w:tabs>
          <w:tab w:val="left" w:pos="567"/>
        </w:tabs>
      </w:pPr>
      <w:r w:rsidRPr="00BE1EBA">
        <w:t>1.2.8</w:t>
      </w:r>
      <w:r w:rsidRPr="00BE1EBA">
        <w:tab/>
        <w:t>Accords commerciaux</w:t>
      </w:r>
    </w:p>
    <w:p w:rsidR="00FA2F4F" w:rsidRPr="00BE1EBA" w:rsidRDefault="00FA2F4F" w:rsidP="00553D03">
      <w:pPr>
        <w:tabs>
          <w:tab w:val="left" w:pos="1134"/>
        </w:tabs>
        <w:ind w:left="1134" w:hanging="567"/>
      </w:pPr>
      <w:r w:rsidRPr="00BE1EBA">
        <w:t>a.</w:t>
      </w:r>
      <w:r w:rsidRPr="00BE1EBA">
        <w:tab/>
        <w:t>En ce qui concerne le processus de la SAEA :</w:t>
      </w:r>
    </w:p>
    <w:p w:rsidR="00FA2F4F" w:rsidRPr="00BE1EBA" w:rsidRDefault="00FA2F4F" w:rsidP="00553D03">
      <w:pPr>
        <w:tabs>
          <w:tab w:val="left" w:pos="1134"/>
        </w:tabs>
        <w:ind w:left="1134" w:hanging="567"/>
      </w:pPr>
      <w:r w:rsidRPr="00BE1EBA">
        <w:tab/>
        <w:t>Ce marché est réservé aux entreprises autochtones conformément à la SAEA du gouvernement fédéral, décrite à l</w:t>
      </w:r>
      <w:r w:rsidR="00812400" w:rsidRPr="00BE1EBA">
        <w:t>’</w:t>
      </w:r>
      <w:r w:rsidRPr="00BE1EBA">
        <w:t>Annexe 9.4, Exigences relatives au Programme de marchés réservés aux entreprises autochtones, du Guide des approvisionnements.</w:t>
      </w:r>
    </w:p>
    <w:p w:rsidR="00FA2F4F" w:rsidRPr="00BE1EBA" w:rsidRDefault="00FA2F4F" w:rsidP="00553D03">
      <w:pPr>
        <w:tabs>
          <w:tab w:val="left" w:pos="1134"/>
        </w:tabs>
        <w:ind w:left="1134" w:hanging="567"/>
      </w:pPr>
      <w:r w:rsidRPr="00BE1EBA">
        <w:tab/>
        <w:t>Ce marché est exclu des accords commerciaux internationaux en vertu des dispositions de chaque accord relativement aux marchés réservés aux petites entreprises et aux entreprises minoritaires.</w:t>
      </w:r>
    </w:p>
    <w:p w:rsidR="00FA2F4F" w:rsidRPr="00BE1EBA" w:rsidRDefault="00FA2F4F" w:rsidP="00553D03">
      <w:pPr>
        <w:tabs>
          <w:tab w:val="left" w:pos="1134"/>
        </w:tabs>
        <w:ind w:left="1134" w:hanging="567"/>
      </w:pPr>
      <w:r w:rsidRPr="00BE1EBA">
        <w:tab/>
        <w:t>Conformément à l</w:t>
      </w:r>
      <w:r w:rsidR="00812400" w:rsidRPr="00BE1EBA">
        <w:t>’</w:t>
      </w:r>
      <w:r w:rsidRPr="00BE1EBA">
        <w:t>article 1802 de l</w:t>
      </w:r>
      <w:r w:rsidR="00812400" w:rsidRPr="00BE1EBA">
        <w:t>’</w:t>
      </w:r>
      <w:r w:rsidRPr="00BE1EBA">
        <w:t>Accord sur le commerce intérieur (ACI), cet accord ne s</w:t>
      </w:r>
      <w:r w:rsidR="00812400" w:rsidRPr="00BE1EBA">
        <w:t>’</w:t>
      </w:r>
      <w:r w:rsidRPr="00BE1EBA">
        <w:t>applique pas au présent contrat.</w:t>
      </w:r>
    </w:p>
    <w:p w:rsidR="00FA2F4F" w:rsidRPr="00BE1EBA" w:rsidRDefault="00FA2F4F" w:rsidP="00553D03">
      <w:pPr>
        <w:tabs>
          <w:tab w:val="left" w:pos="1134"/>
        </w:tabs>
        <w:ind w:left="1134" w:hanging="567"/>
      </w:pPr>
      <w:r w:rsidRPr="00BE1EBA">
        <w:t xml:space="preserve">b. </w:t>
      </w:r>
      <w:r w:rsidRPr="00BE1EBA">
        <w:tab/>
        <w:t>En ce qui concerne le processus général :</w:t>
      </w:r>
    </w:p>
    <w:p w:rsidR="00FA2F4F" w:rsidRPr="00BE1EBA" w:rsidRDefault="00FA2F4F" w:rsidP="00553D03">
      <w:pPr>
        <w:tabs>
          <w:tab w:val="left" w:pos="1134"/>
        </w:tabs>
        <w:ind w:left="1134"/>
      </w:pPr>
      <w:r w:rsidRPr="00BE1EBA">
        <w:t>Le besoin est soumis aux dispositions de l</w:t>
      </w:r>
      <w:r w:rsidR="00812400" w:rsidRPr="00BE1EBA">
        <w:t>’</w:t>
      </w:r>
      <w:r w:rsidRPr="00BE1EBA">
        <w:t>Accord sur les marchés publics de l</w:t>
      </w:r>
      <w:r w:rsidR="00812400" w:rsidRPr="00BE1EBA">
        <w:t>’</w:t>
      </w:r>
      <w:r w:rsidRPr="00BE1EBA">
        <w:t>Organisation mondiale du commerce, de l</w:t>
      </w:r>
      <w:r w:rsidR="00812400" w:rsidRPr="00BE1EBA">
        <w:t>’</w:t>
      </w:r>
      <w:r w:rsidRPr="00BE1EBA">
        <w:t>Accord de libre</w:t>
      </w:r>
      <w:r w:rsidR="003262E1" w:rsidRPr="00BE1EBA">
        <w:t>­</w:t>
      </w:r>
      <w:r w:rsidRPr="00BE1EBA">
        <w:t>échange nord</w:t>
      </w:r>
      <w:r w:rsidR="003262E1" w:rsidRPr="00BE1EBA">
        <w:t>­</w:t>
      </w:r>
      <w:r w:rsidRPr="00BE1EBA">
        <w:t>américain, de l</w:t>
      </w:r>
      <w:r w:rsidR="00812400" w:rsidRPr="00BE1EBA">
        <w:t>’</w:t>
      </w:r>
      <w:r w:rsidRPr="00BE1EBA">
        <w:t>ACI, de l</w:t>
      </w:r>
      <w:r w:rsidR="00812400" w:rsidRPr="00BE1EBA">
        <w:t>’</w:t>
      </w:r>
      <w:r w:rsidRPr="00BE1EBA">
        <w:t>Accord de libre</w:t>
      </w:r>
      <w:r w:rsidR="003262E1" w:rsidRPr="00BE1EBA">
        <w:t>­</w:t>
      </w:r>
      <w:r w:rsidRPr="00BE1EBA">
        <w:t>échange Canada</w:t>
      </w:r>
      <w:r w:rsidR="003262E1" w:rsidRPr="00BE1EBA">
        <w:t>­</w:t>
      </w:r>
      <w:r w:rsidRPr="00BE1EBA">
        <w:t>Chili, de l</w:t>
      </w:r>
      <w:r w:rsidR="00812400" w:rsidRPr="00BE1EBA">
        <w:t>’</w:t>
      </w:r>
      <w:r w:rsidRPr="00BE1EBA">
        <w:t>Accord de libre</w:t>
      </w:r>
      <w:r w:rsidR="003262E1" w:rsidRPr="00BE1EBA">
        <w:t>­</w:t>
      </w:r>
      <w:r w:rsidRPr="00BE1EBA">
        <w:t>échange Canada</w:t>
      </w:r>
      <w:r w:rsidR="003262E1" w:rsidRPr="00BE1EBA">
        <w:t>­</w:t>
      </w:r>
      <w:r w:rsidRPr="00BE1EBA">
        <w:t>Colombie et de l</w:t>
      </w:r>
      <w:r w:rsidR="00812400" w:rsidRPr="00BE1EBA">
        <w:t>’</w:t>
      </w:r>
      <w:r w:rsidRPr="00BE1EBA">
        <w:t>Accord de libre</w:t>
      </w:r>
      <w:r w:rsidR="003262E1" w:rsidRPr="00BE1EBA">
        <w:t>­</w:t>
      </w:r>
      <w:r w:rsidRPr="00BE1EBA">
        <w:t>échange Canada</w:t>
      </w:r>
      <w:r w:rsidR="003262E1" w:rsidRPr="00BE1EBA">
        <w:t>­</w:t>
      </w:r>
      <w:r w:rsidRPr="00BE1EBA">
        <w:t>Pérou.</w:t>
      </w:r>
    </w:p>
    <w:p w:rsidR="00B363C7" w:rsidRPr="00BE1EBA" w:rsidRDefault="00FA2F4F" w:rsidP="00FA2F4F">
      <w:pPr>
        <w:tabs>
          <w:tab w:val="left" w:pos="567"/>
        </w:tabs>
      </w:pPr>
      <w:r w:rsidRPr="00BE1EBA">
        <w:t>2.9</w:t>
      </w:r>
      <w:r w:rsidRPr="00BE1EBA">
        <w:tab/>
        <w:t>À l</w:t>
      </w:r>
      <w:r w:rsidR="00812400" w:rsidRPr="00BE1EBA">
        <w:t>’</w:t>
      </w:r>
      <w:r w:rsidRPr="00BE1EBA">
        <w:t>Annexe B de la présente DAMA, la catégorie de produit 1 a été divisée en deux sous</w:t>
      </w:r>
      <w:r w:rsidR="003262E1" w:rsidRPr="00BE1EBA">
        <w:t>­</w:t>
      </w:r>
      <w:r w:rsidRPr="00BE1EBA">
        <w:t>catégories de produits, 1a et 1b. Cela vise à simplifier la présentation des arrangements. Le Canada regroupera les sous</w:t>
      </w:r>
      <w:r w:rsidR="003262E1" w:rsidRPr="00BE1EBA">
        <w:t>­</w:t>
      </w:r>
      <w:r w:rsidRPr="00BE1EBA">
        <w:t>catégories de produits 1a et 1b en une seule catégorie 1 lors de la publication de l</w:t>
      </w:r>
      <w:r w:rsidR="00812400" w:rsidRPr="00BE1EBA">
        <w:t>’</w:t>
      </w:r>
      <w:r w:rsidRPr="00BE1EBA">
        <w:t>AMA.</w:t>
      </w:r>
    </w:p>
    <w:p w:rsidR="00B24B16" w:rsidRPr="00BE1EBA" w:rsidRDefault="00E334AD" w:rsidP="00232778">
      <w:pPr>
        <w:pStyle w:val="ModlesEn-tte2"/>
      </w:pPr>
      <w:bookmarkStart w:id="3" w:name="_Toc413070256"/>
      <w:r w:rsidRPr="00BE1EBA">
        <w:t>1.3</w:t>
      </w:r>
      <w:r w:rsidRPr="00BE1EBA">
        <w:tab/>
        <w:t>Exigences relatives à la sécurité</w:t>
      </w:r>
      <w:bookmarkEnd w:id="3"/>
    </w:p>
    <w:p w:rsidR="001B2323" w:rsidRPr="00BE1EBA" w:rsidRDefault="001B2323" w:rsidP="001B2323">
      <w:r w:rsidRPr="00BE1EBA">
        <w:t>La publication de l</w:t>
      </w:r>
      <w:r w:rsidR="00812400" w:rsidRPr="00BE1EBA">
        <w:t>’</w:t>
      </w:r>
      <w:r w:rsidRPr="00BE1EBA">
        <w:t>AMA subséquent ne comporte aucune exigence relative à la sécurité. Cependant, la livraison et l</w:t>
      </w:r>
      <w:r w:rsidR="00812400" w:rsidRPr="00BE1EBA">
        <w:t>’</w:t>
      </w:r>
      <w:r w:rsidRPr="00BE1EBA">
        <w:t>installation des biens achetés dans le cadre de cet AMA peuvent être soumises à des exigences relatives à la sécurité. Toutes les exigences relatives à la sécurité seront comprises dans l</w:t>
      </w:r>
      <w:r w:rsidR="00812400" w:rsidRPr="00BE1EBA">
        <w:t>’</w:t>
      </w:r>
      <w:r w:rsidRPr="00BE1EBA">
        <w:t>invitation à soumissionner et les clauses appropriées seront intégrées dans le contrat subséquent.</w:t>
      </w:r>
    </w:p>
    <w:p w:rsidR="001B2323" w:rsidRPr="00BE1EBA" w:rsidRDefault="001B2323" w:rsidP="00232778">
      <w:pPr>
        <w:pStyle w:val="ModlesEn-tte2"/>
      </w:pPr>
    </w:p>
    <w:p w:rsidR="001817AE" w:rsidRPr="00BE1EBA" w:rsidRDefault="001817AE" w:rsidP="00232778">
      <w:pPr>
        <w:pStyle w:val="ModlesEn-tte2"/>
      </w:pPr>
      <w:bookmarkStart w:id="4" w:name="_Toc413070257"/>
      <w:r w:rsidRPr="00BE1EBA">
        <w:t>1.4</w:t>
      </w:r>
      <w:r w:rsidRPr="00BE1EBA">
        <w:tab/>
        <w:t>Contenu canadien</w:t>
      </w:r>
      <w:bookmarkEnd w:id="4"/>
      <w:r w:rsidRPr="00BE1EBA">
        <w:t xml:space="preserve"> </w:t>
      </w:r>
    </w:p>
    <w:p w:rsidR="001817AE" w:rsidRPr="00BE1EBA" w:rsidRDefault="001817AE" w:rsidP="000822E2">
      <w:pPr>
        <w:pStyle w:val="NormalWeb"/>
        <w:keepNext/>
        <w:keepLines/>
        <w:spacing w:before="0" w:beforeAutospacing="0" w:after="240" w:afterAutospacing="0"/>
      </w:pPr>
      <w:r w:rsidRPr="00BE1EBA">
        <w:t>Pour le processus de la SAEA seulement :</w:t>
      </w:r>
    </w:p>
    <w:p w:rsidR="001817AE" w:rsidRPr="00BE1EBA" w:rsidRDefault="001817AE" w:rsidP="000822E2">
      <w:pPr>
        <w:keepNext/>
        <w:keepLines/>
      </w:pPr>
      <w:r w:rsidRPr="00BE1EBA">
        <w:t>Les demandes de soumissions d</w:t>
      </w:r>
      <w:r w:rsidR="00812400" w:rsidRPr="00BE1EBA">
        <w:t>’</w:t>
      </w:r>
      <w:r w:rsidRPr="00BE1EBA">
        <w:t>une valeur de 25 000 $ (taxes applicables comprises) ou plus qui sont publiées par TPSGC pendant la période de l</w:t>
      </w:r>
      <w:r w:rsidR="00812400" w:rsidRPr="00BE1EBA">
        <w:t>’</w:t>
      </w:r>
      <w:r w:rsidRPr="00BE1EBA">
        <w:t>AMA peuvent se limiter conditionnellement aux produits canadiens définis à la clause A3050T</w:t>
      </w:r>
      <w:r w:rsidR="00EF7715" w:rsidRPr="00BE1EBA">
        <w:t xml:space="preserve">. </w:t>
      </w:r>
      <w:r w:rsidRPr="00BE1EBA">
        <w:t>Pour respecter la définition de contenu canadien, les fournisseurs de la SAEA doivent offrir, dans leur arrangement, au moins un produit qui respecte la définition de contenu canadien. Ledit produit doit être indiqué à l</w:t>
      </w:r>
      <w:r w:rsidR="00812400" w:rsidRPr="00BE1EBA">
        <w:t>’</w:t>
      </w:r>
      <w:r w:rsidRPr="00BE1EBA">
        <w:t>Annexe B de l</w:t>
      </w:r>
      <w:r w:rsidR="00812400" w:rsidRPr="00BE1EBA">
        <w:t>’</w:t>
      </w:r>
      <w:r w:rsidRPr="00BE1EBA">
        <w:t xml:space="preserve">AMA. </w:t>
      </w:r>
    </w:p>
    <w:p w:rsidR="001817AE" w:rsidRPr="00BE1EBA" w:rsidRDefault="001817AE" w:rsidP="001817AE">
      <w:pPr>
        <w:pStyle w:val="NormalWeb"/>
        <w:spacing w:before="0" w:beforeAutospacing="0" w:after="240" w:afterAutospacing="0"/>
      </w:pPr>
      <w:r w:rsidRPr="00BE1EBA">
        <w:t xml:space="preserve">Clause A3050T du </w:t>
      </w:r>
      <w:r w:rsidRPr="00BE1EBA">
        <w:rPr>
          <w:i/>
        </w:rPr>
        <w:t>Guide des clauses et conditions uniformisées d</w:t>
      </w:r>
      <w:r w:rsidR="00812400" w:rsidRPr="00BE1EBA">
        <w:rPr>
          <w:i/>
        </w:rPr>
        <w:t>’</w:t>
      </w:r>
      <w:r w:rsidRPr="00BE1EBA">
        <w:rPr>
          <w:i/>
        </w:rPr>
        <w:t>achat</w:t>
      </w:r>
      <w:r w:rsidRPr="00BE1EBA">
        <w:t xml:space="preserve"> [2014</w:t>
      </w:r>
      <w:r w:rsidR="003262E1" w:rsidRPr="00BE1EBA">
        <w:t>­</w:t>
      </w:r>
      <w:r w:rsidRPr="00BE1EBA">
        <w:t>11</w:t>
      </w:r>
      <w:r w:rsidR="003262E1" w:rsidRPr="00BE1EBA">
        <w:t>­</w:t>
      </w:r>
      <w:r w:rsidRPr="00BE1EBA">
        <w:t>27], Définition du contenu canadien</w:t>
      </w:r>
      <w:r w:rsidR="00EF7715" w:rsidRPr="00BE1EBA">
        <w:t xml:space="preserve">. </w:t>
      </w:r>
    </w:p>
    <w:p w:rsidR="00B24B16" w:rsidRPr="00BE1EBA" w:rsidRDefault="00E334AD" w:rsidP="00232778">
      <w:pPr>
        <w:pStyle w:val="ModlesEn-tte2"/>
      </w:pPr>
      <w:bookmarkStart w:id="5" w:name="_Toc413070258"/>
      <w:r w:rsidRPr="00BE1EBA">
        <w:t>1.5</w:t>
      </w:r>
      <w:r w:rsidRPr="00BE1EBA">
        <w:tab/>
        <w:t>Compte rendu</w:t>
      </w:r>
      <w:bookmarkEnd w:id="5"/>
    </w:p>
    <w:p w:rsidR="00B24B16" w:rsidRPr="00BE1EBA" w:rsidRDefault="00B24B16" w:rsidP="00595A76">
      <w:r w:rsidRPr="00BE1EBA">
        <w:t>Les fournisseurs peuvent demander un compte rendu des résultats du processus de demande d</w:t>
      </w:r>
      <w:r w:rsidR="00812400" w:rsidRPr="00BE1EBA">
        <w:t>’</w:t>
      </w:r>
      <w:r w:rsidRPr="00BE1EBA">
        <w:t>arrangements en matière d</w:t>
      </w:r>
      <w:r w:rsidR="00812400" w:rsidRPr="00BE1EBA">
        <w:t>’</w:t>
      </w:r>
      <w:r w:rsidRPr="00BE1EBA">
        <w:t>approvisionnement. Les fournisseurs devraient en faire la demande au responsable de l</w:t>
      </w:r>
      <w:r w:rsidR="00812400" w:rsidRPr="00BE1EBA">
        <w:t>’</w:t>
      </w:r>
      <w:r w:rsidRPr="00BE1EBA">
        <w:t>arrangement en matière d</w:t>
      </w:r>
      <w:r w:rsidR="00812400" w:rsidRPr="00BE1EBA">
        <w:t>’</w:t>
      </w:r>
      <w:r w:rsidRPr="00BE1EBA">
        <w:t>approvisionnement dans les 15 jours ouvrables, suivant la réception des résultats du processus de demande d</w:t>
      </w:r>
      <w:r w:rsidR="00812400" w:rsidRPr="00BE1EBA">
        <w:t>’</w:t>
      </w:r>
      <w:r w:rsidRPr="00BE1EBA">
        <w:t>arrangements en matière d</w:t>
      </w:r>
      <w:r w:rsidR="00812400" w:rsidRPr="00BE1EBA">
        <w:t>’</w:t>
      </w:r>
      <w:r w:rsidRPr="00BE1EBA">
        <w:t>approvisionnement. Le compte rendu peut être fourni par écrit, par téléphone ou en personne.</w:t>
      </w:r>
    </w:p>
    <w:p w:rsidR="00114A15" w:rsidRPr="00BE1EBA" w:rsidRDefault="006D3CB4">
      <w:pPr>
        <w:rPr>
          <w:rFonts w:cs="Times New Roman"/>
          <w:b/>
          <w:bCs/>
          <w:iCs/>
          <w:szCs w:val="28"/>
        </w:rPr>
      </w:pPr>
      <w:r w:rsidRPr="00BE1EBA">
        <w:br w:type="page"/>
      </w:r>
    </w:p>
    <w:p w:rsidR="00B24B16" w:rsidRPr="00BE1EBA" w:rsidRDefault="00B24B16" w:rsidP="00467857">
      <w:pPr>
        <w:pStyle w:val="ModlesEn-tte1"/>
      </w:pPr>
      <w:bookmarkStart w:id="6" w:name="_Toc413070259"/>
      <w:r w:rsidRPr="00BE1EBA">
        <w:lastRenderedPageBreak/>
        <w:t>PARTIE 2 – INSTRUCTIONS À L</w:t>
      </w:r>
      <w:r w:rsidR="00812400" w:rsidRPr="00BE1EBA">
        <w:t>’</w:t>
      </w:r>
      <w:r w:rsidRPr="00BE1EBA">
        <w:t>INTENTION DES FOURNISSEURS</w:t>
      </w:r>
      <w:bookmarkEnd w:id="6"/>
    </w:p>
    <w:p w:rsidR="00B24B16" w:rsidRPr="00BE1EBA" w:rsidRDefault="00E334AD" w:rsidP="00232778">
      <w:pPr>
        <w:pStyle w:val="ModlesEn-tte2"/>
      </w:pPr>
      <w:bookmarkStart w:id="7" w:name="_Toc413070260"/>
      <w:r w:rsidRPr="00BE1EBA">
        <w:t>2.1</w:t>
      </w:r>
      <w:r w:rsidRPr="00BE1EBA">
        <w:tab/>
        <w:t>Instructions, clauses et conditions uniformisées</w:t>
      </w:r>
      <w:bookmarkEnd w:id="7"/>
    </w:p>
    <w:p w:rsidR="00B24B16" w:rsidRPr="00BE1EBA" w:rsidRDefault="00B24B16">
      <w:pPr>
        <w:pStyle w:val="DefaultText"/>
      </w:pPr>
      <w:r w:rsidRPr="00BE1EBA">
        <w:t>Toutes les instructions, clauses et conditions identifiées dans la demande d</w:t>
      </w:r>
      <w:r w:rsidR="00812400" w:rsidRPr="00BE1EBA">
        <w:t>’</w:t>
      </w:r>
      <w:r w:rsidRPr="00BE1EBA">
        <w:t>arrangements en matière d</w:t>
      </w:r>
      <w:r w:rsidR="00812400" w:rsidRPr="00BE1EBA">
        <w:t>’</w:t>
      </w:r>
      <w:r w:rsidRPr="00BE1EBA">
        <w:t xml:space="preserve">approvisionnement (DAMA) par un numéro, une date et un titre sont reproduites dans le </w:t>
      </w:r>
      <w:hyperlink r:id="rId8" w:history="1">
        <w:r w:rsidRPr="00BE1EBA">
          <w:rPr>
            <w:rStyle w:val="Hyperlink"/>
            <w:i/>
          </w:rPr>
          <w:t>Guide des clauses et conditions uniformisées d</w:t>
        </w:r>
        <w:r w:rsidR="00812400" w:rsidRPr="00BE1EBA">
          <w:rPr>
            <w:rStyle w:val="Hyperlink"/>
            <w:i/>
          </w:rPr>
          <w:t>’</w:t>
        </w:r>
        <w:r w:rsidRPr="00BE1EBA">
          <w:rPr>
            <w:rStyle w:val="Hyperlink"/>
            <w:i/>
          </w:rPr>
          <w:t>achat</w:t>
        </w:r>
      </w:hyperlink>
      <w:r w:rsidRPr="00BE1EBA">
        <w:rPr>
          <w:color w:val="800000"/>
        </w:rPr>
        <w:t xml:space="preserve"> </w:t>
      </w:r>
      <w:r w:rsidRPr="00BE1EBA">
        <w:t>(https://achatsetventes.gc.ca/politiques</w:t>
      </w:r>
      <w:r w:rsidR="003262E1" w:rsidRPr="00BE1EBA">
        <w:t>­</w:t>
      </w:r>
      <w:r w:rsidRPr="00BE1EBA">
        <w:t>et</w:t>
      </w:r>
      <w:r w:rsidR="003262E1" w:rsidRPr="00BE1EBA">
        <w:t>­</w:t>
      </w:r>
      <w:r w:rsidRPr="00BE1EBA">
        <w:t>lignes</w:t>
      </w:r>
      <w:r w:rsidR="003262E1" w:rsidRPr="00BE1EBA">
        <w:t>­</w:t>
      </w:r>
      <w:r w:rsidRPr="00BE1EBA">
        <w:t>directrices/guide</w:t>
      </w:r>
      <w:r w:rsidR="003262E1" w:rsidRPr="00BE1EBA">
        <w:t>­</w:t>
      </w:r>
      <w:r w:rsidRPr="00BE1EBA">
        <w:t>des</w:t>
      </w:r>
      <w:r w:rsidR="003262E1" w:rsidRPr="00BE1EBA">
        <w:t>­</w:t>
      </w:r>
      <w:r w:rsidRPr="00BE1EBA">
        <w:t>clauses</w:t>
      </w:r>
      <w:r w:rsidR="003262E1" w:rsidRPr="00BE1EBA">
        <w:t>­</w:t>
      </w:r>
      <w:r w:rsidRPr="00BE1EBA">
        <w:t>et</w:t>
      </w:r>
      <w:r w:rsidR="003262E1" w:rsidRPr="00BE1EBA">
        <w:t>­</w:t>
      </w:r>
      <w:r w:rsidRPr="00BE1EBA">
        <w:t>conditions</w:t>
      </w:r>
      <w:r w:rsidR="003262E1" w:rsidRPr="00BE1EBA">
        <w:t>­</w:t>
      </w:r>
      <w:r w:rsidRPr="00BE1EBA">
        <w:t>uniformisees</w:t>
      </w:r>
      <w:r w:rsidR="003262E1" w:rsidRPr="00BE1EBA">
        <w:t>­</w:t>
      </w:r>
      <w:r w:rsidRPr="00BE1EBA">
        <w:t>d</w:t>
      </w:r>
      <w:r w:rsidR="003262E1" w:rsidRPr="00BE1EBA">
        <w:t>­</w:t>
      </w:r>
      <w:r w:rsidRPr="00BE1EBA">
        <w:t>achat) publié par Travaux publics et Services gouvernementaux Canada.</w:t>
      </w:r>
    </w:p>
    <w:p w:rsidR="00B24B16" w:rsidRPr="00BE1EBA" w:rsidRDefault="00B24B16">
      <w:pPr>
        <w:pStyle w:val="DefaultText"/>
      </w:pPr>
      <w:r w:rsidRPr="00BE1EBA">
        <w:t>Les fournisseurs qui présentent un arrangement s</w:t>
      </w:r>
      <w:r w:rsidR="00812400" w:rsidRPr="00BE1EBA">
        <w:t>’</w:t>
      </w:r>
      <w:r w:rsidRPr="00BE1EBA">
        <w:t>engagent à respecter les instructions, les clauses et les conditions de la DAMA et acceptent les clauses et les conditions de l</w:t>
      </w:r>
      <w:r w:rsidR="00812400" w:rsidRPr="00BE1EBA">
        <w:t>’</w:t>
      </w:r>
      <w:r w:rsidRPr="00BE1EBA">
        <w:t>arrangement en matière d</w:t>
      </w:r>
      <w:r w:rsidR="00812400" w:rsidRPr="00BE1EBA">
        <w:t>’</w:t>
      </w:r>
      <w:r w:rsidRPr="00BE1EBA">
        <w:t>approvisionnement et du ou des contrats subséquents.</w:t>
      </w:r>
    </w:p>
    <w:p w:rsidR="00B24B16" w:rsidRPr="00BE1EBA" w:rsidRDefault="00C55EA8">
      <w:pPr>
        <w:pStyle w:val="DefaultText"/>
        <w:rPr>
          <w:rStyle w:val="AnchorA"/>
          <w:color w:val="auto"/>
          <w:u w:val="none"/>
        </w:rPr>
      </w:pPr>
      <w:r w:rsidRPr="00BE1EBA">
        <w:rPr>
          <w:rStyle w:val="Hyperlink"/>
          <w:color w:val="auto"/>
          <w:u w:val="none"/>
        </w:rPr>
        <w:t>Le document</w:t>
      </w:r>
      <w:r w:rsidRPr="00BE1EBA">
        <w:rPr>
          <w:rStyle w:val="Hyperlink"/>
        </w:rPr>
        <w:t xml:space="preserve"> </w:t>
      </w:r>
      <w:hyperlink r:id="rId9" w:history="1">
        <w:r w:rsidRPr="00BE1EBA">
          <w:rPr>
            <w:rStyle w:val="Hyperlink"/>
          </w:rPr>
          <w:t>2008</w:t>
        </w:r>
      </w:hyperlink>
      <w:r w:rsidRPr="00BE1EBA">
        <w:rPr>
          <w:rStyle w:val="AnchorA"/>
          <w:u w:val="none"/>
        </w:rPr>
        <w:t xml:space="preserve"> </w:t>
      </w:r>
      <w:r w:rsidRPr="00BE1EBA">
        <w:rPr>
          <w:rStyle w:val="AnchorA"/>
          <w:i/>
          <w:color w:val="auto"/>
          <w:u w:val="none"/>
        </w:rPr>
        <w:t>(</w:t>
      </w:r>
      <w:r w:rsidRPr="00BE1EBA">
        <w:t>2014</w:t>
      </w:r>
      <w:r w:rsidR="003262E1" w:rsidRPr="00BE1EBA">
        <w:t>­</w:t>
      </w:r>
      <w:r w:rsidRPr="00BE1EBA">
        <w:t>09</w:t>
      </w:r>
      <w:r w:rsidR="003262E1" w:rsidRPr="00BE1EBA">
        <w:t>­</w:t>
      </w:r>
      <w:r w:rsidRPr="00BE1EBA">
        <w:t>25</w:t>
      </w:r>
      <w:r w:rsidRPr="00BE1EBA">
        <w:rPr>
          <w:rStyle w:val="AnchorA"/>
          <w:i/>
          <w:color w:val="auto"/>
          <w:u w:val="none"/>
        </w:rPr>
        <w:t>)</w:t>
      </w:r>
      <w:r w:rsidRPr="00BE1EBA">
        <w:rPr>
          <w:rStyle w:val="AnchorA"/>
          <w:u w:val="none"/>
        </w:rPr>
        <w:t xml:space="preserve"> </w:t>
      </w:r>
      <w:r w:rsidRPr="00BE1EBA">
        <w:rPr>
          <w:rStyle w:val="AnchorA"/>
          <w:color w:val="auto"/>
          <w:u w:val="none"/>
        </w:rPr>
        <w:t>Instructions uniformisées</w:t>
      </w:r>
      <w:r w:rsidR="002A6210" w:rsidRPr="00BE1EBA">
        <w:rPr>
          <w:rStyle w:val="AnchorA"/>
          <w:color w:val="auto"/>
          <w:u w:val="none"/>
        </w:rPr>
        <w:t xml:space="preserve"> – </w:t>
      </w:r>
      <w:r w:rsidRPr="00BE1EBA">
        <w:rPr>
          <w:rStyle w:val="AnchorA"/>
          <w:color w:val="auto"/>
          <w:u w:val="none"/>
        </w:rPr>
        <w:t>demande d</w:t>
      </w:r>
      <w:r w:rsidR="00812400" w:rsidRPr="00BE1EBA">
        <w:rPr>
          <w:rStyle w:val="AnchorA"/>
          <w:color w:val="auto"/>
          <w:u w:val="none"/>
        </w:rPr>
        <w:t>’</w:t>
      </w:r>
      <w:r w:rsidRPr="00BE1EBA">
        <w:rPr>
          <w:rStyle w:val="AnchorA"/>
          <w:color w:val="auto"/>
          <w:u w:val="none"/>
        </w:rPr>
        <w:t>arrangements en matière d</w:t>
      </w:r>
      <w:r w:rsidR="00812400" w:rsidRPr="00BE1EBA">
        <w:rPr>
          <w:rStyle w:val="AnchorA"/>
          <w:color w:val="auto"/>
          <w:u w:val="none"/>
        </w:rPr>
        <w:t>’</w:t>
      </w:r>
      <w:r w:rsidRPr="00BE1EBA">
        <w:rPr>
          <w:rStyle w:val="AnchorA"/>
          <w:color w:val="auto"/>
          <w:u w:val="none"/>
        </w:rPr>
        <w:t>approvisionnement</w:t>
      </w:r>
      <w:r w:rsidR="002A6210" w:rsidRPr="00BE1EBA">
        <w:rPr>
          <w:rStyle w:val="AnchorA"/>
          <w:color w:val="auto"/>
          <w:u w:val="none"/>
        </w:rPr>
        <w:t xml:space="preserve"> – </w:t>
      </w:r>
      <w:r w:rsidRPr="00BE1EBA">
        <w:rPr>
          <w:rStyle w:val="AnchorA"/>
          <w:color w:val="auto"/>
          <w:u w:val="none"/>
        </w:rPr>
        <w:t>biens ou services, sont incorporées par renvoi à la DAMA et en font partie intégrante.</w:t>
      </w:r>
    </w:p>
    <w:p w:rsidR="00B24B16" w:rsidRPr="00BE1EBA" w:rsidRDefault="00B24B16">
      <w:pPr>
        <w:pStyle w:val="DefaultText"/>
      </w:pPr>
      <w:r w:rsidRPr="00BE1EBA">
        <w:t xml:space="preserve">Le paragraphe 5.4 du document </w:t>
      </w:r>
      <w:hyperlink r:id="rId10" w:history="1">
        <w:r w:rsidRPr="00BE1EBA">
          <w:rPr>
            <w:rStyle w:val="Hyperlink"/>
          </w:rPr>
          <w:t>2008</w:t>
        </w:r>
      </w:hyperlink>
      <w:r w:rsidRPr="00BE1EBA">
        <w:t>, Instructions uniformisées</w:t>
      </w:r>
      <w:r w:rsidR="002A6210" w:rsidRPr="00BE1EBA">
        <w:t xml:space="preserve"> – </w:t>
      </w:r>
      <w:r w:rsidRPr="00BE1EBA">
        <w:t>demande d</w:t>
      </w:r>
      <w:r w:rsidR="00812400" w:rsidRPr="00BE1EBA">
        <w:t>’</w:t>
      </w:r>
      <w:r w:rsidRPr="00BE1EBA">
        <w:t>arrangements en matière d</w:t>
      </w:r>
      <w:r w:rsidR="00812400" w:rsidRPr="00BE1EBA">
        <w:t>’</w:t>
      </w:r>
      <w:r w:rsidRPr="00BE1EBA">
        <w:t>approvisionnement</w:t>
      </w:r>
      <w:r w:rsidR="002A6210" w:rsidRPr="00BE1EBA">
        <w:t xml:space="preserve"> – </w:t>
      </w:r>
      <w:r w:rsidRPr="00BE1EBA">
        <w:t>biens ou services, est modifié comme suit :</w:t>
      </w:r>
    </w:p>
    <w:p w:rsidR="00B24B16" w:rsidRPr="00BE1EBA" w:rsidRDefault="00B24B16" w:rsidP="00114A15">
      <w:pPr>
        <w:pStyle w:val="DefaultText"/>
      </w:pPr>
      <w:r w:rsidRPr="00BE1EBA">
        <w:t>Supprimer : 60 jours</w:t>
      </w:r>
    </w:p>
    <w:p w:rsidR="00B24B16" w:rsidRPr="00BE1EBA" w:rsidRDefault="00B24B16" w:rsidP="00114A15">
      <w:pPr>
        <w:pStyle w:val="DefaultText"/>
      </w:pPr>
      <w:r w:rsidRPr="00BE1EBA">
        <w:t>Insérer : Cent vingt (120) jours</w:t>
      </w:r>
    </w:p>
    <w:p w:rsidR="008D21F4" w:rsidRPr="00BE1EBA" w:rsidRDefault="00B24B16" w:rsidP="00232778">
      <w:pPr>
        <w:pStyle w:val="ModlesEn-tte2"/>
      </w:pPr>
      <w:bookmarkStart w:id="8" w:name="_Toc413070261"/>
      <w:r w:rsidRPr="00BE1EBA">
        <w:t>2.2</w:t>
      </w:r>
      <w:r w:rsidRPr="00BE1EBA">
        <w:tab/>
        <w:t>Présentation des arrangements</w:t>
      </w:r>
      <w:bookmarkEnd w:id="8"/>
    </w:p>
    <w:p w:rsidR="00B24B16" w:rsidRPr="00BE1EBA" w:rsidRDefault="00B24B16">
      <w:pPr>
        <w:pStyle w:val="DefaultText"/>
      </w:pPr>
      <w:r w:rsidRPr="00BE1EBA">
        <w:t>Les arrangements doivent être présentés uniquement au Module de réception des soumissions de Travaux publics et Services gouvernementaux Canada (TPSGC) au plus tard à la date, à l</w:t>
      </w:r>
      <w:r w:rsidR="00812400" w:rsidRPr="00BE1EBA">
        <w:t>’</w:t>
      </w:r>
      <w:r w:rsidRPr="00BE1EBA">
        <w:t>heure et à l</w:t>
      </w:r>
      <w:r w:rsidR="00812400" w:rsidRPr="00BE1EBA">
        <w:t>’</w:t>
      </w:r>
      <w:r w:rsidRPr="00BE1EBA">
        <w:t>endroit indiqués à la page 1 de la demande d</w:t>
      </w:r>
      <w:r w:rsidR="00812400" w:rsidRPr="00BE1EBA">
        <w:t>’</w:t>
      </w:r>
      <w:r w:rsidRPr="00BE1EBA">
        <w:t>arrangements en matière d</w:t>
      </w:r>
      <w:r w:rsidR="00812400" w:rsidRPr="00BE1EBA">
        <w:t>’</w:t>
      </w:r>
      <w:r w:rsidRPr="00BE1EBA">
        <w:t>approvisionnement.</w:t>
      </w:r>
    </w:p>
    <w:p w:rsidR="00B24B16" w:rsidRPr="00BE1EBA" w:rsidRDefault="00B24B16">
      <w:pPr>
        <w:pStyle w:val="DefaultText"/>
      </w:pPr>
      <w:r w:rsidRPr="00BE1EBA">
        <w:t>En raison du caractère de la demande d</w:t>
      </w:r>
      <w:r w:rsidR="00812400" w:rsidRPr="00BE1EBA">
        <w:t>’</w:t>
      </w:r>
      <w:r w:rsidRPr="00BE1EBA">
        <w:t>arrangements en matière d</w:t>
      </w:r>
      <w:r w:rsidR="00812400" w:rsidRPr="00BE1EBA">
        <w:t>’</w:t>
      </w:r>
      <w:r w:rsidRPr="00BE1EBA">
        <w:t>approvisionnement, les arrangements transmis par télécopieur à l</w:t>
      </w:r>
      <w:r w:rsidR="00812400" w:rsidRPr="00BE1EBA">
        <w:t>’</w:t>
      </w:r>
      <w:r w:rsidRPr="00BE1EBA">
        <w:t>intention de TPSGC ne seront pas acceptés.</w:t>
      </w:r>
    </w:p>
    <w:p w:rsidR="00B24B16" w:rsidRPr="00BE1EBA" w:rsidRDefault="00E334AD" w:rsidP="00232778">
      <w:pPr>
        <w:pStyle w:val="ModlesEn-tte2"/>
      </w:pPr>
      <w:bookmarkStart w:id="9" w:name="_Toc413070262"/>
      <w:r w:rsidRPr="00BE1EBA">
        <w:t>2.3</w:t>
      </w:r>
      <w:r w:rsidRPr="00BE1EBA">
        <w:tab/>
        <w:t>Programme de contrats fédéraux pour l</w:t>
      </w:r>
      <w:r w:rsidR="00812400" w:rsidRPr="00BE1EBA">
        <w:t>’</w:t>
      </w:r>
      <w:r w:rsidRPr="00BE1EBA">
        <w:t>équité en matière d</w:t>
      </w:r>
      <w:r w:rsidR="00812400" w:rsidRPr="00BE1EBA">
        <w:t>’</w:t>
      </w:r>
      <w:r w:rsidRPr="00BE1EBA">
        <w:t>emploi – Avis</w:t>
      </w:r>
      <w:bookmarkEnd w:id="9"/>
    </w:p>
    <w:p w:rsidR="00B24B16" w:rsidRPr="00BE1EBA" w:rsidRDefault="00B24B16" w:rsidP="00231E3D">
      <w:pPr>
        <w:pStyle w:val="DefaultText"/>
      </w:pPr>
      <w:r w:rsidRPr="00BE1EBA">
        <w:t>Le Programme de contrats fédéraux pour l</w:t>
      </w:r>
      <w:r w:rsidR="00812400" w:rsidRPr="00BE1EBA">
        <w:t>’</w:t>
      </w:r>
      <w:r w:rsidRPr="00BE1EBA">
        <w:t>équité en matière d</w:t>
      </w:r>
      <w:r w:rsidR="00812400" w:rsidRPr="00BE1EBA">
        <w:t>’</w:t>
      </w:r>
      <w:r w:rsidRPr="00BE1EBA">
        <w:t>emploi exige que certains entrepreneurs s</w:t>
      </w:r>
      <w:r w:rsidR="00812400" w:rsidRPr="00BE1EBA">
        <w:t>’</w:t>
      </w:r>
      <w:r w:rsidRPr="00BE1EBA">
        <w:t>engagent formellement auprès d</w:t>
      </w:r>
      <w:r w:rsidR="00812400" w:rsidRPr="00BE1EBA">
        <w:t>’</w:t>
      </w:r>
      <w:r w:rsidRPr="00BE1EBA">
        <w:t xml:space="preserve">Emploi et Développement social Canada (EDSC) – Travail, à mettre en </w:t>
      </w:r>
      <w:r w:rsidR="008D42C7" w:rsidRPr="00BE1EBA">
        <w:t>œuvre</w:t>
      </w:r>
      <w:r w:rsidRPr="00BE1EBA">
        <w:t xml:space="preserve"> un programme d</w:t>
      </w:r>
      <w:r w:rsidR="00812400" w:rsidRPr="00BE1EBA">
        <w:t>’</w:t>
      </w:r>
      <w:r w:rsidRPr="00BE1EBA">
        <w:t>équité en matière d</w:t>
      </w:r>
      <w:r w:rsidR="00812400" w:rsidRPr="00BE1EBA">
        <w:t>’</w:t>
      </w:r>
      <w:r w:rsidRPr="00BE1EBA">
        <w:t>emploi. Si le présent arrangement en matière d</w:t>
      </w:r>
      <w:r w:rsidR="00812400" w:rsidRPr="00BE1EBA">
        <w:t>’</w:t>
      </w:r>
      <w:r w:rsidRPr="00BE1EBA">
        <w:t>approvisionnement mène à l</w:t>
      </w:r>
      <w:r w:rsidR="00812400" w:rsidRPr="00BE1EBA">
        <w:t>’</w:t>
      </w:r>
      <w:r w:rsidRPr="00BE1EBA">
        <w:t>attribution d</w:t>
      </w:r>
      <w:r w:rsidR="00812400" w:rsidRPr="00BE1EBA">
        <w:t>’</w:t>
      </w:r>
      <w:r w:rsidRPr="00BE1EBA">
        <w:t>un contrat assujetti au Programme de contrats fédéraux pour l</w:t>
      </w:r>
      <w:r w:rsidR="00812400" w:rsidRPr="00BE1EBA">
        <w:t>’</w:t>
      </w:r>
      <w:r w:rsidRPr="00BE1EBA">
        <w:t>équité en matière d</w:t>
      </w:r>
      <w:r w:rsidR="00812400" w:rsidRPr="00BE1EBA">
        <w:t>’</w:t>
      </w:r>
      <w:r w:rsidRPr="00BE1EBA">
        <w:t>emploi, les modèles de demande de soumissions et de contrats subséquents comprendront des exigences à cet effet. Pour obtenir d</w:t>
      </w:r>
      <w:r w:rsidR="00812400" w:rsidRPr="00BE1EBA">
        <w:t>’</w:t>
      </w:r>
      <w:r w:rsidRPr="00BE1EBA">
        <w:t>autres renseignements sur le Programme de contrats fédéraux pour l</w:t>
      </w:r>
      <w:r w:rsidR="00812400" w:rsidRPr="00BE1EBA">
        <w:t>’</w:t>
      </w:r>
      <w:r w:rsidRPr="00BE1EBA">
        <w:t>équité en matière d</w:t>
      </w:r>
      <w:r w:rsidR="00812400" w:rsidRPr="00BE1EBA">
        <w:t>’</w:t>
      </w:r>
      <w:r w:rsidRPr="00BE1EBA">
        <w:t>emploi, consulter le site Web d</w:t>
      </w:r>
      <w:r w:rsidR="00812400" w:rsidRPr="00BE1EBA">
        <w:t>’</w:t>
      </w:r>
      <w:hyperlink r:id="rId11" w:history="1">
        <w:r w:rsidRPr="00BE1EBA">
          <w:rPr>
            <w:rStyle w:val="Hyperlink"/>
          </w:rPr>
          <w:t>EDSC</w:t>
        </w:r>
        <w:r w:rsidR="002A6210" w:rsidRPr="00BE1EBA">
          <w:rPr>
            <w:rStyle w:val="Hyperlink"/>
          </w:rPr>
          <w:t xml:space="preserve"> – </w:t>
        </w:r>
        <w:r w:rsidRPr="00BE1EBA">
          <w:rPr>
            <w:rStyle w:val="Hyperlink"/>
          </w:rPr>
          <w:t>Travail</w:t>
        </w:r>
      </w:hyperlink>
      <w:r w:rsidRPr="00BE1EBA">
        <w:t>.</w:t>
      </w:r>
    </w:p>
    <w:p w:rsidR="00B24B16" w:rsidRPr="00BE1EBA" w:rsidRDefault="00E334AD" w:rsidP="00232778">
      <w:pPr>
        <w:pStyle w:val="ModlesEn-tte2"/>
      </w:pPr>
      <w:bookmarkStart w:id="10" w:name="_Toc413070263"/>
      <w:r w:rsidRPr="00BE1EBA">
        <w:t>2.4</w:t>
      </w:r>
      <w:r w:rsidRPr="00BE1EBA">
        <w:tab/>
        <w:t>Demandes de renseignements – demande d</w:t>
      </w:r>
      <w:r w:rsidR="00812400" w:rsidRPr="00BE1EBA">
        <w:t>’</w:t>
      </w:r>
      <w:r w:rsidRPr="00BE1EBA">
        <w:t>arrangements en matière d</w:t>
      </w:r>
      <w:r w:rsidR="00812400" w:rsidRPr="00BE1EBA">
        <w:t>’</w:t>
      </w:r>
      <w:r w:rsidRPr="00BE1EBA">
        <w:t>approvisionnement</w:t>
      </w:r>
      <w:bookmarkEnd w:id="10"/>
    </w:p>
    <w:p w:rsidR="00B24B16" w:rsidRPr="00BE1EBA" w:rsidRDefault="00B24B16">
      <w:pPr>
        <w:pStyle w:val="DefaultText"/>
      </w:pPr>
      <w:r w:rsidRPr="00BE1EBA">
        <w:t>Toutes les demandes de renseignements doivent être présentées par écrit au responsable de l</w:t>
      </w:r>
      <w:r w:rsidR="00812400" w:rsidRPr="00BE1EBA">
        <w:t>’</w:t>
      </w:r>
      <w:r w:rsidRPr="00BE1EBA">
        <w:t>arrangement en matière d</w:t>
      </w:r>
      <w:r w:rsidR="00812400" w:rsidRPr="00BE1EBA">
        <w:t>’</w:t>
      </w:r>
      <w:r w:rsidRPr="00BE1EBA">
        <w:t>approvisionnement au moins douze (12) jours civils avant la date de clôture de la demande d</w:t>
      </w:r>
      <w:r w:rsidR="00812400" w:rsidRPr="00BE1EBA">
        <w:t>’</w:t>
      </w:r>
      <w:r w:rsidRPr="00BE1EBA">
        <w:t>arrangements en matière d</w:t>
      </w:r>
      <w:r w:rsidR="00812400" w:rsidRPr="00BE1EBA">
        <w:t>’</w:t>
      </w:r>
      <w:r w:rsidRPr="00BE1EBA">
        <w:t>approvisionnement (DAMA). Pour ce qui est des demandes de renseignements reçues après ce délai, il est possible qu</w:t>
      </w:r>
      <w:r w:rsidR="00812400" w:rsidRPr="00BE1EBA">
        <w:t>’</w:t>
      </w:r>
      <w:r w:rsidRPr="00BE1EBA">
        <w:t>on ne puisse pas y répondre.</w:t>
      </w:r>
    </w:p>
    <w:p w:rsidR="00B24B16" w:rsidRPr="00BE1EBA" w:rsidRDefault="00B24B16">
      <w:pPr>
        <w:pStyle w:val="DefaultText"/>
      </w:pPr>
      <w:r w:rsidRPr="00BE1EBA">
        <w:t>Les fournisseurs devraient citer le plus fidèlement possible le numéro de l</w:t>
      </w:r>
      <w:r w:rsidR="00812400" w:rsidRPr="00BE1EBA">
        <w:t>’</w:t>
      </w:r>
      <w:r w:rsidRPr="00BE1EBA">
        <w:t>article de la DAMA auquel se rapporte la question et prendre soin d</w:t>
      </w:r>
      <w:r w:rsidR="00812400" w:rsidRPr="00BE1EBA">
        <w:t>’</w:t>
      </w:r>
      <w:r w:rsidRPr="00BE1EBA">
        <w:t>énoncer chaque question de manière suffisamment détaillée pour que le Canada puisse y répondre avec exactitude. Les demandes de renseignements techniques qui ont un caractère « exclusif » doivent porter clairement la mention « exclusif » vis</w:t>
      </w:r>
      <w:r w:rsidR="003262E1" w:rsidRPr="00BE1EBA">
        <w:t>­</w:t>
      </w:r>
      <w:r w:rsidRPr="00BE1EBA">
        <w:t>à</w:t>
      </w:r>
      <w:r w:rsidR="003262E1" w:rsidRPr="00BE1EBA">
        <w:t>­</w:t>
      </w:r>
      <w:r w:rsidRPr="00BE1EBA">
        <w:t>vis de chaque article pertinent. Les éléments portant la mention « exclusif » feront l</w:t>
      </w:r>
      <w:r w:rsidR="00812400" w:rsidRPr="00BE1EBA">
        <w:t>’</w:t>
      </w:r>
      <w:r w:rsidRPr="00BE1EBA">
        <w:t>objet d</w:t>
      </w:r>
      <w:r w:rsidR="00812400" w:rsidRPr="00BE1EBA">
        <w:t>’</w:t>
      </w:r>
      <w:r w:rsidRPr="00BE1EBA">
        <w:t>une discrétion absolue, sauf dans les cas où le Canada considère que la demande de renseignements n</w:t>
      </w:r>
      <w:r w:rsidR="00812400" w:rsidRPr="00BE1EBA">
        <w:t>’</w:t>
      </w:r>
      <w:r w:rsidRPr="00BE1EBA">
        <w:t>a pas un caractère exclusif. Dans ce cas, le Canada peut réviser les questions ou peut demander au fournisseur de le faire, afin d</w:t>
      </w:r>
      <w:r w:rsidR="00812400" w:rsidRPr="00BE1EBA">
        <w:t>’</w:t>
      </w:r>
      <w:r w:rsidRPr="00BE1EBA">
        <w:t>en éliminer le caractère exclusif, et permettre la transmission des réponses à tous les fournisseurs. Le Canada peut ne pas répondre aux demandes de renseignements dont la formulation ne permet pas de les diffuser à tous les fournisseurs.</w:t>
      </w:r>
    </w:p>
    <w:p w:rsidR="00B24B16" w:rsidRPr="00BE1EBA" w:rsidRDefault="000464DD" w:rsidP="00D71BDD">
      <w:r w:rsidRPr="00BE1EBA">
        <w:t xml:space="preserve">Les demandes de renseignements qui pourraient entraîner une modification du </w:t>
      </w:r>
      <w:r w:rsidRPr="006243F8">
        <w:t>catalogue</w:t>
      </w:r>
      <w:r w:rsidRPr="00BE1EBA">
        <w:t xml:space="preserve"> des produits du gouvernement du Canada peuvent être compilées. On y répondra lorsque le gouvernement du Canada </w:t>
      </w:r>
      <w:r w:rsidRPr="00BE1EBA">
        <w:lastRenderedPageBreak/>
        <w:t>jugera qu</w:t>
      </w:r>
      <w:r w:rsidR="00812400" w:rsidRPr="00BE1EBA">
        <w:t>’</w:t>
      </w:r>
      <w:r w:rsidRPr="00BE1EBA">
        <w:t>elles sont suffisamment nombreuses pour justifier une modification officielle de son catalogue de produits.</w:t>
      </w:r>
    </w:p>
    <w:p w:rsidR="000464DD" w:rsidRPr="00BE1EBA" w:rsidRDefault="000464DD" w:rsidP="00232778">
      <w:pPr>
        <w:pStyle w:val="ModlesEn-tte2"/>
      </w:pPr>
      <w:bookmarkStart w:id="11" w:name="_Toc413070264"/>
      <w:r w:rsidRPr="00BE1EBA">
        <w:t>2.5</w:t>
      </w:r>
      <w:r w:rsidRPr="00BE1EBA">
        <w:tab/>
        <w:t>Conférence des fournisseurs</w:t>
      </w:r>
      <w:bookmarkEnd w:id="11"/>
    </w:p>
    <w:p w:rsidR="000464DD" w:rsidRPr="006243F8" w:rsidRDefault="000464DD" w:rsidP="000464DD">
      <w:pPr>
        <w:pStyle w:val="NormalWeb"/>
        <w:spacing w:before="0" w:beforeAutospacing="0" w:after="240" w:afterAutospacing="0"/>
        <w:rPr>
          <w:shd w:val="clear" w:color="auto" w:fill="FFFFFF"/>
        </w:rPr>
      </w:pPr>
      <w:r w:rsidRPr="006243F8">
        <w:t xml:space="preserve">Une conférence des fournisseurs aura lieu à </w:t>
      </w:r>
      <w:r w:rsidR="006243F8" w:rsidRPr="006243F8">
        <w:t>la</w:t>
      </w:r>
      <w:r w:rsidR="006243F8">
        <w:t xml:space="preserve"> </w:t>
      </w:r>
      <w:r w:rsidR="006243F8" w:rsidRPr="006243F8">
        <w:t xml:space="preserve">Place du Portage, Phase IV, </w:t>
      </w:r>
      <w:r w:rsidR="006243F8" w:rsidRPr="00701679">
        <w:rPr>
          <w:shd w:val="clear" w:color="auto" w:fill="FFFFFF"/>
        </w:rPr>
        <w:t xml:space="preserve">140, rue Promenade du Portage, </w:t>
      </w:r>
      <w:r w:rsidR="006243F8">
        <w:rPr>
          <w:shd w:val="clear" w:color="auto" w:fill="FFFFFF"/>
        </w:rPr>
        <w:t>Niveau</w:t>
      </w:r>
      <w:r w:rsidR="006243F8" w:rsidRPr="00701679">
        <w:rPr>
          <w:shd w:val="clear" w:color="auto" w:fill="FFFFFF"/>
        </w:rPr>
        <w:t xml:space="preserve"> 0</w:t>
      </w:r>
      <w:r w:rsidR="006243F8">
        <w:rPr>
          <w:shd w:val="clear" w:color="auto" w:fill="FFFFFF"/>
        </w:rPr>
        <w:t>,</w:t>
      </w:r>
      <w:r w:rsidR="006243F8" w:rsidRPr="00701679">
        <w:rPr>
          <w:shd w:val="clear" w:color="auto" w:fill="FFFFFF"/>
        </w:rPr>
        <w:t xml:space="preserve"> </w:t>
      </w:r>
      <w:r w:rsidR="006243F8">
        <w:rPr>
          <w:shd w:val="clear" w:color="auto" w:fill="FFFFFF"/>
        </w:rPr>
        <w:t>Centre de conférence</w:t>
      </w:r>
      <w:r w:rsidR="006243F8" w:rsidRPr="00701679">
        <w:rPr>
          <w:shd w:val="clear" w:color="auto" w:fill="FFFFFF"/>
        </w:rPr>
        <w:t xml:space="preserve">, </w:t>
      </w:r>
      <w:r w:rsidR="006243F8">
        <w:rPr>
          <w:shd w:val="clear" w:color="auto" w:fill="FFFFFF"/>
        </w:rPr>
        <w:t>Gatineau (Québec), J8X 2K2 lundi le</w:t>
      </w:r>
      <w:r w:rsidR="006243F8" w:rsidRPr="00701679">
        <w:rPr>
          <w:shd w:val="clear" w:color="auto" w:fill="FFFFFF"/>
        </w:rPr>
        <w:t xml:space="preserve"> 9</w:t>
      </w:r>
      <w:r w:rsidR="006243F8">
        <w:rPr>
          <w:shd w:val="clear" w:color="auto" w:fill="FFFFFF"/>
        </w:rPr>
        <w:t xml:space="preserve"> Mars</w:t>
      </w:r>
      <w:r w:rsidR="006243F8" w:rsidRPr="00701679">
        <w:rPr>
          <w:shd w:val="clear" w:color="auto" w:fill="FFFFFF"/>
        </w:rPr>
        <w:t>, 2015</w:t>
      </w:r>
      <w:r w:rsidR="006243F8">
        <w:rPr>
          <w:shd w:val="clear" w:color="auto" w:fill="FFFFFF"/>
        </w:rPr>
        <w:t>. L’heure de la conférence est indiqué</w:t>
      </w:r>
      <w:r w:rsidRPr="00BE1EBA">
        <w:t xml:space="preserve"> </w:t>
      </w:r>
      <w:proofErr w:type="spellStart"/>
      <w:r w:rsidRPr="00BE1EBA">
        <w:t>ci</w:t>
      </w:r>
      <w:r w:rsidR="003262E1" w:rsidRPr="00BE1EBA">
        <w:t>­</w:t>
      </w:r>
      <w:r w:rsidRPr="00BE1EBA">
        <w:t>dessous</w:t>
      </w:r>
      <w:proofErr w:type="spellEnd"/>
      <w:r w:rsidRPr="00BE1EBA">
        <w:t>. Au cours de celle</w:t>
      </w:r>
      <w:r w:rsidR="003262E1" w:rsidRPr="00BE1EBA">
        <w:t>­</w:t>
      </w:r>
      <w:r w:rsidRPr="00BE1EBA">
        <w:t>ci, on examinera la portée du besoin précisé dans la DAMA et on répondra aux questions. On recommande aux fournisseurs qui ont l</w:t>
      </w:r>
      <w:r w:rsidR="00812400" w:rsidRPr="00BE1EBA">
        <w:t>’</w:t>
      </w:r>
      <w:r w:rsidRPr="00BE1EBA">
        <w:t>intention de présenter un arrangement de participer à la conférence ou de s</w:t>
      </w:r>
      <w:r w:rsidR="00812400" w:rsidRPr="00BE1EBA">
        <w:t>’</w:t>
      </w:r>
      <w:r w:rsidRPr="00BE1EBA">
        <w:t>y faire représenter.</w:t>
      </w:r>
    </w:p>
    <w:p w:rsidR="000464DD" w:rsidRPr="00BE1EBA" w:rsidRDefault="000464DD" w:rsidP="000464DD">
      <w:pPr>
        <w:pStyle w:val="NormalWeb"/>
        <w:spacing w:before="0" w:beforeAutospacing="0" w:after="240" w:afterAutospacing="0"/>
      </w:pPr>
      <w:r w:rsidRPr="00BE1EBA">
        <w:t>Les fournisseurs sont priés de communiquer avec le responsable de l</w:t>
      </w:r>
      <w:r w:rsidR="00812400" w:rsidRPr="00BE1EBA">
        <w:t>’</w:t>
      </w:r>
      <w:r w:rsidRPr="00BE1EBA">
        <w:t>AMA avant le début de la conférence pour confirmer leur présence. Ils devront lui fournir, par écrit, une liste des personnes qui assisteront à la conférence et une liste des questions qu</w:t>
      </w:r>
      <w:r w:rsidR="00812400" w:rsidRPr="00BE1EBA">
        <w:t>’</w:t>
      </w:r>
      <w:r w:rsidRPr="00BE1EBA">
        <w:t>ils souhaitent présenter</w:t>
      </w:r>
      <w:r w:rsidR="009A757F">
        <w:t xml:space="preserve"> avant le 6 Mars</w:t>
      </w:r>
      <w:r w:rsidR="006243F8">
        <w:t>.</w:t>
      </w:r>
    </w:p>
    <w:p w:rsidR="000464DD" w:rsidRPr="00BE1EBA" w:rsidRDefault="000464DD" w:rsidP="000464DD">
      <w:pPr>
        <w:pStyle w:val="NormalWeb"/>
        <w:spacing w:before="0" w:beforeAutospacing="0" w:after="240" w:afterAutospacing="0"/>
      </w:pPr>
      <w:r w:rsidRPr="00BE1EBA">
        <w:t>Toute précision ou tout changement apporté à la DAMA à la suite de la conférence des fournisseurs sera inclus dans la demande, sous la forme d</w:t>
      </w:r>
      <w:r w:rsidR="00812400" w:rsidRPr="00BE1EBA">
        <w:t>’</w:t>
      </w:r>
      <w:r w:rsidRPr="00BE1EBA">
        <w:t>une modification. Les fournisseurs qui ne participeront pas à la conférence pourront tout de même présenter un arrangement.</w:t>
      </w:r>
    </w:p>
    <w:p w:rsidR="000464DD" w:rsidRPr="00BE1EBA" w:rsidRDefault="000464DD" w:rsidP="000464DD">
      <w:pPr>
        <w:pStyle w:val="NormalWeb"/>
        <w:spacing w:before="0" w:beforeAutospacing="0" w:after="240" w:afterAutospacing="0"/>
      </w:pPr>
      <w:r w:rsidRPr="00BE1EBA">
        <w:t>Le Canada organisera deux conférences distinctes, une en anglais et une en français. Les horaires seront les suivantes :</w:t>
      </w:r>
    </w:p>
    <w:p w:rsidR="000464DD" w:rsidRPr="00BE1EBA" w:rsidRDefault="000464DD" w:rsidP="000464DD">
      <w:pPr>
        <w:pStyle w:val="NormalWeb"/>
        <w:spacing w:before="0" w:beforeAutospacing="0" w:after="240" w:afterAutospacing="0"/>
      </w:pPr>
      <w:r w:rsidRPr="00BE1EBA">
        <w:t>Séance en anglais – 9 h</w:t>
      </w:r>
    </w:p>
    <w:p w:rsidR="000464DD" w:rsidRDefault="000464DD" w:rsidP="000464DD">
      <w:pPr>
        <w:pStyle w:val="NormalWeb"/>
        <w:spacing w:before="0" w:beforeAutospacing="0" w:after="240" w:afterAutospacing="0"/>
      </w:pPr>
      <w:r w:rsidRPr="00BE1EBA">
        <w:t>Séance en français – 13 h</w:t>
      </w:r>
    </w:p>
    <w:p w:rsidR="00CE5CF0" w:rsidRDefault="00CE5CF0" w:rsidP="00CE5CF0">
      <w:pPr>
        <w:spacing w:after="0"/>
      </w:pPr>
      <w:r w:rsidRPr="000058CD">
        <w:t>Pour vous joindre via t</w:t>
      </w:r>
      <w:r>
        <w:t xml:space="preserve">éléconférence, veuillez composer le </w:t>
      </w:r>
      <w:r w:rsidRPr="000058CD">
        <w:rPr>
          <w:szCs w:val="20"/>
        </w:rPr>
        <w:t xml:space="preserve">1-877-413-4791 </w:t>
      </w:r>
      <w:r>
        <w:t>et entrer le numéro de téléconférence</w:t>
      </w:r>
      <w:r w:rsidRPr="000058CD">
        <w:rPr>
          <w:szCs w:val="20"/>
        </w:rPr>
        <w:t xml:space="preserve"> 4485938</w:t>
      </w:r>
      <w:r w:rsidRPr="000058CD">
        <w:t>.</w:t>
      </w:r>
    </w:p>
    <w:p w:rsidR="00ED7F87" w:rsidRDefault="00ED7F87" w:rsidP="00CE5CF0">
      <w:pPr>
        <w:spacing w:after="0"/>
      </w:pPr>
    </w:p>
    <w:p w:rsidR="00ED7F87" w:rsidRPr="00BE1EBA" w:rsidRDefault="00ED7F87" w:rsidP="00CE5CF0">
      <w:pPr>
        <w:spacing w:after="0"/>
      </w:pPr>
      <w:r>
        <w:t>Pour vous inscrire à la conférence des fournisseurs, veuillez envoyer un courriel à chantal.clouthier@tpsgc-pwgsc.gc.ca</w:t>
      </w:r>
    </w:p>
    <w:p w:rsidR="00B24B16" w:rsidRPr="00BE1EBA" w:rsidRDefault="00E334AD" w:rsidP="00232778">
      <w:pPr>
        <w:pStyle w:val="ModlesEn-tte2"/>
      </w:pPr>
      <w:bookmarkStart w:id="12" w:name="_Toc413070265"/>
      <w:r w:rsidRPr="00BE1EBA">
        <w:t>2.6</w:t>
      </w:r>
      <w:r w:rsidRPr="00BE1EBA">
        <w:tab/>
        <w:t>Lois applicables</w:t>
      </w:r>
      <w:bookmarkEnd w:id="12"/>
    </w:p>
    <w:p w:rsidR="00B24B16" w:rsidRPr="00BE1EBA" w:rsidRDefault="00B24B16">
      <w:pPr>
        <w:pStyle w:val="DefaultText"/>
      </w:pPr>
      <w:r w:rsidRPr="00BE1EBA">
        <w:t>L</w:t>
      </w:r>
      <w:r w:rsidR="00812400" w:rsidRPr="00BE1EBA">
        <w:t>’</w:t>
      </w:r>
      <w:r w:rsidRPr="00BE1EBA">
        <w:t>arrangement en matière d</w:t>
      </w:r>
      <w:r w:rsidR="00812400" w:rsidRPr="00BE1EBA">
        <w:t>’</w:t>
      </w:r>
      <w:r w:rsidRPr="00BE1EBA">
        <w:t>approvisionnement (AMA) et tout contrat attribué en vertu de l</w:t>
      </w:r>
      <w:r w:rsidR="00812400" w:rsidRPr="00BE1EBA">
        <w:t>’</w:t>
      </w:r>
      <w:r w:rsidRPr="00BE1EBA">
        <w:t>AMA seront interprétés et régis selon les lois en vigueur en Ontario</w:t>
      </w:r>
      <w:r w:rsidRPr="00BE1EBA">
        <w:rPr>
          <w:i/>
          <w:color w:val="0000FF"/>
        </w:rPr>
        <w:t xml:space="preserve"> </w:t>
      </w:r>
      <w:r w:rsidRPr="00BE1EBA">
        <w:t>et les relations entre les parties seront déterminées par ces lois.</w:t>
      </w:r>
    </w:p>
    <w:p w:rsidR="00B24B16" w:rsidRPr="00BE1EBA" w:rsidRDefault="00B24B16">
      <w:pPr>
        <w:pStyle w:val="DefaultText"/>
      </w:pPr>
      <w:r w:rsidRPr="00BE1EBA">
        <w:t>À leur discrétion, les fournisseurs peuvent indiquer les lois applicables d</w:t>
      </w:r>
      <w:r w:rsidR="00812400" w:rsidRPr="00BE1EBA">
        <w:t>’</w:t>
      </w:r>
      <w:r w:rsidRPr="00BE1EBA">
        <w:t>une province ou d</w:t>
      </w:r>
      <w:r w:rsidR="00812400" w:rsidRPr="00BE1EBA">
        <w:t>’</w:t>
      </w:r>
      <w:r w:rsidRPr="00BE1EBA">
        <w:t>un territoire canadien de leur choix, sans que la validité de l</w:t>
      </w:r>
      <w:r w:rsidR="00812400" w:rsidRPr="00BE1EBA">
        <w:t>’</w:t>
      </w:r>
      <w:r w:rsidRPr="00BE1EBA">
        <w:t>arrangement ne soit mise en question, en supprimant le nom de la province ou du territoire canadien précisé et en insérant le nom de la province ou du territoire canadien de leur choix. Si aucun changement n</w:t>
      </w:r>
      <w:r w:rsidR="00812400" w:rsidRPr="00BE1EBA">
        <w:t>’</w:t>
      </w:r>
      <w:r w:rsidRPr="00BE1EBA">
        <w:t>est indiqué, cela signifie que les fournisseurs acceptent les lois applicables indiquées.</w:t>
      </w:r>
    </w:p>
    <w:p w:rsidR="00114A15" w:rsidRPr="00BE1EBA" w:rsidRDefault="006D3CB4">
      <w:pPr>
        <w:rPr>
          <w:szCs w:val="20"/>
        </w:rPr>
      </w:pPr>
      <w:r w:rsidRPr="00BE1EBA">
        <w:br w:type="page"/>
      </w:r>
    </w:p>
    <w:p w:rsidR="00B24B16" w:rsidRPr="00BE1EBA" w:rsidRDefault="00B24B16" w:rsidP="00467857">
      <w:pPr>
        <w:pStyle w:val="ModlesEn-tte1"/>
      </w:pPr>
      <w:bookmarkStart w:id="13" w:name="_Toc413070266"/>
      <w:r w:rsidRPr="00BE1EBA">
        <w:lastRenderedPageBreak/>
        <w:t>PARTIE 3 – INSTRUCTIONS POUR LA PRÉPARATION DES ARRANGEMENTS</w:t>
      </w:r>
      <w:bookmarkEnd w:id="13"/>
    </w:p>
    <w:p w:rsidR="00B24B16" w:rsidRPr="00BE1EBA" w:rsidRDefault="00E334AD" w:rsidP="00232778">
      <w:pPr>
        <w:pStyle w:val="ModlesEn-tte2"/>
      </w:pPr>
      <w:bookmarkStart w:id="14" w:name="_Toc413070267"/>
      <w:r w:rsidRPr="00BE1EBA">
        <w:t>3.1</w:t>
      </w:r>
      <w:r w:rsidRPr="00BE1EBA">
        <w:tab/>
        <w:t>Instructions pour la préparation des arrangements</w:t>
      </w:r>
      <w:bookmarkEnd w:id="14"/>
    </w:p>
    <w:p w:rsidR="00B24B16" w:rsidRPr="00BE1EBA" w:rsidRDefault="00B24B16">
      <w:pPr>
        <w:pStyle w:val="DefaultText"/>
      </w:pPr>
      <w:r w:rsidRPr="00BE1EBA">
        <w:t>Le Canada demande que les</w:t>
      </w:r>
      <w:r w:rsidRPr="00BE1EBA">
        <w:rPr>
          <w:color w:val="FF0000"/>
        </w:rPr>
        <w:t xml:space="preserve"> </w:t>
      </w:r>
      <w:r w:rsidRPr="00BE1EBA">
        <w:t>fournisseurs fournissent</w:t>
      </w:r>
      <w:r w:rsidRPr="00BE1EBA">
        <w:rPr>
          <w:i/>
          <w:color w:val="FF0000"/>
        </w:rPr>
        <w:t xml:space="preserve"> </w:t>
      </w:r>
      <w:r w:rsidRPr="00BE1EBA">
        <w:t>l</w:t>
      </w:r>
      <w:r w:rsidR="00812400" w:rsidRPr="00BE1EBA">
        <w:t>’</w:t>
      </w:r>
      <w:r w:rsidRPr="00BE1EBA">
        <w:t>arrangement en sections distinctes, comme suit :</w:t>
      </w:r>
    </w:p>
    <w:p w:rsidR="00B24B16" w:rsidRPr="00BE1EBA" w:rsidRDefault="00B24B16">
      <w:pPr>
        <w:pStyle w:val="DefaultText"/>
        <w:ind w:left="1457" w:hanging="1457"/>
      </w:pPr>
      <w:r w:rsidRPr="00BE1EBA">
        <w:t xml:space="preserve">Section I : </w:t>
      </w:r>
      <w:r w:rsidRPr="00BE1EBA">
        <w:tab/>
        <w:t xml:space="preserve">arrangement technique (Deux copies </w:t>
      </w:r>
      <w:r w:rsidR="00ED7F87">
        <w:t>électroniques sur CD ou DVD</w:t>
      </w:r>
      <w:r w:rsidRPr="00BE1EBA">
        <w:t>)</w:t>
      </w:r>
    </w:p>
    <w:p w:rsidR="00B24B16" w:rsidRPr="00BE1EBA" w:rsidRDefault="00B24B16">
      <w:pPr>
        <w:pStyle w:val="DefaultText"/>
        <w:ind w:left="1457" w:hanging="1457"/>
      </w:pPr>
      <w:r w:rsidRPr="00BE1EBA">
        <w:t xml:space="preserve">Section II : </w:t>
      </w:r>
      <w:r w:rsidRPr="00BE1EBA">
        <w:tab/>
        <w:t xml:space="preserve">arrangement financier (1 copie </w:t>
      </w:r>
      <w:r w:rsidR="00ED7F87">
        <w:t>électroniques sur CD ou DVD</w:t>
      </w:r>
      <w:r w:rsidRPr="00BE1EBA">
        <w:t>)</w:t>
      </w:r>
    </w:p>
    <w:p w:rsidR="00B24B16" w:rsidRPr="00BE1EBA" w:rsidRDefault="00B24B16" w:rsidP="006E0C0D">
      <w:pPr>
        <w:pStyle w:val="DefaultText"/>
        <w:ind w:left="1457" w:hanging="1457"/>
      </w:pPr>
      <w:r w:rsidRPr="00BE1EBA">
        <w:t>Section III :</w:t>
      </w:r>
      <w:r w:rsidRPr="00BE1EBA">
        <w:tab/>
        <w:t>attestations</w:t>
      </w:r>
      <w:r w:rsidR="002A6210" w:rsidRPr="00BE1EBA">
        <w:t xml:space="preserve"> </w:t>
      </w:r>
      <w:r w:rsidRPr="00BE1EBA">
        <w:t>(2 copies électroniques s</w:t>
      </w:r>
      <w:r w:rsidR="00ED7F87">
        <w:t>ur CD ou DVD</w:t>
      </w:r>
      <w:r w:rsidRPr="00BE1EBA">
        <w:t>)</w:t>
      </w:r>
    </w:p>
    <w:p w:rsidR="00C46B82" w:rsidRPr="00BE1EBA" w:rsidRDefault="00C46B82" w:rsidP="005F083B">
      <w:pPr>
        <w:pStyle w:val="ModlesEn-tte3"/>
      </w:pPr>
      <w:bookmarkStart w:id="15" w:name="_Toc412634752"/>
      <w:r w:rsidRPr="00BE1EBA">
        <w:t>Section I :</w:t>
      </w:r>
      <w:r w:rsidRPr="00BE1EBA">
        <w:tab/>
        <w:t>Arrangement technique et financier</w:t>
      </w:r>
      <w:bookmarkEnd w:id="15"/>
    </w:p>
    <w:p w:rsidR="00C46B82" w:rsidRPr="00BE1EBA" w:rsidRDefault="00C46B82" w:rsidP="00C46B82">
      <w:r w:rsidRPr="00BE1EBA">
        <w:t>Les fournisseurs doivent présenter l</w:t>
      </w:r>
      <w:r w:rsidR="00812400" w:rsidRPr="00BE1EBA">
        <w:t>’</w:t>
      </w:r>
      <w:r w:rsidRPr="00BE1EBA">
        <w:t>arrangement technique et financier conformément aux critères techniques et financiers obligatoires énoncés à la partie 4.</w:t>
      </w:r>
    </w:p>
    <w:p w:rsidR="00D71BDD" w:rsidRPr="00BE1EBA" w:rsidRDefault="00D71BDD" w:rsidP="005F083B">
      <w:pPr>
        <w:pStyle w:val="ModlesEn-tte3"/>
      </w:pPr>
      <w:bookmarkStart w:id="16" w:name="_Toc412634753"/>
      <w:r w:rsidRPr="00BE1EBA">
        <w:t>3.1.1 Clauses du Guide des CCUA</w:t>
      </w:r>
      <w:bookmarkEnd w:id="16"/>
    </w:p>
    <w:p w:rsidR="00D71BDD" w:rsidRPr="00BE1EBA" w:rsidRDefault="00D71BDD" w:rsidP="00D71BDD">
      <w:pPr>
        <w:pStyle w:val="DefaultText"/>
        <w:rPr>
          <w:b/>
          <w:bCs/>
        </w:rPr>
      </w:pPr>
      <w:r w:rsidRPr="00BE1EBA">
        <w:t>Clauses du Guide des CCUA S2003T (2008</w:t>
      </w:r>
      <w:r w:rsidR="003262E1" w:rsidRPr="00BE1EBA">
        <w:t>­</w:t>
      </w:r>
      <w:r w:rsidRPr="00BE1EBA">
        <w:t>12</w:t>
      </w:r>
      <w:r w:rsidR="003262E1" w:rsidRPr="00BE1EBA">
        <w:t>­</w:t>
      </w:r>
      <w:r w:rsidRPr="00BE1EBA">
        <w:t>12) Prix et(ou) taux plafonds</w:t>
      </w:r>
    </w:p>
    <w:p w:rsidR="00C46B82" w:rsidRPr="00BE1EBA" w:rsidRDefault="00C46B82" w:rsidP="005F083B">
      <w:pPr>
        <w:pStyle w:val="ModlesEn-tte3"/>
      </w:pPr>
      <w:bookmarkStart w:id="17" w:name="_Toc412634754"/>
      <w:r w:rsidRPr="00BE1EBA">
        <w:t>Section II :</w:t>
      </w:r>
      <w:r w:rsidRPr="00BE1EBA">
        <w:tab/>
        <w:t>Arrangement de gestion</w:t>
      </w:r>
      <w:bookmarkEnd w:id="17"/>
      <w:r w:rsidR="002A6210" w:rsidRPr="00BE1EBA">
        <w:t xml:space="preserve"> </w:t>
      </w:r>
    </w:p>
    <w:p w:rsidR="003172BF" w:rsidRPr="00BE1EBA" w:rsidRDefault="00C46B82" w:rsidP="00C41AB2">
      <w:r w:rsidRPr="00BE1EBA">
        <w:t>Les fournisseurs doivent présenter l</w:t>
      </w:r>
      <w:r w:rsidR="00812400" w:rsidRPr="00BE1EBA">
        <w:t>’</w:t>
      </w:r>
      <w:r w:rsidRPr="00BE1EBA">
        <w:t>arrangement de gestion conformément aux critères de gestion obligatoires énoncés à la partie 4.</w:t>
      </w:r>
    </w:p>
    <w:p w:rsidR="00B24B16" w:rsidRPr="00BE1EBA" w:rsidRDefault="00B24B16" w:rsidP="005F083B">
      <w:pPr>
        <w:pStyle w:val="ModlesEn-tte3"/>
      </w:pPr>
      <w:bookmarkStart w:id="18" w:name="_Toc412634755"/>
      <w:r w:rsidRPr="00BE1EBA">
        <w:t>Section III :</w:t>
      </w:r>
      <w:r w:rsidRPr="00BE1EBA">
        <w:tab/>
        <w:t>Attestations</w:t>
      </w:r>
      <w:bookmarkEnd w:id="18"/>
    </w:p>
    <w:p w:rsidR="00B24B16" w:rsidRPr="00BE1EBA" w:rsidRDefault="00B24B16" w:rsidP="00CA1276">
      <w:r w:rsidRPr="00BE1EBA">
        <w:t>Les fournisseurs doivent</w:t>
      </w:r>
      <w:r w:rsidRPr="00BE1EBA">
        <w:rPr>
          <w:color w:val="FF0000"/>
        </w:rPr>
        <w:t xml:space="preserve"> </w:t>
      </w:r>
      <w:r w:rsidRPr="00BE1EBA">
        <w:t>présenter les attestations exigées à la Partie 5.</w:t>
      </w:r>
    </w:p>
    <w:p w:rsidR="00C41AB2" w:rsidRPr="00BE1EBA" w:rsidRDefault="006D3CB4">
      <w:pPr>
        <w:rPr>
          <w:szCs w:val="20"/>
        </w:rPr>
      </w:pPr>
      <w:r w:rsidRPr="00BE1EBA">
        <w:br w:type="page"/>
      </w:r>
    </w:p>
    <w:p w:rsidR="00B24B16" w:rsidRPr="00BE1EBA" w:rsidRDefault="00B24B16" w:rsidP="00467857">
      <w:pPr>
        <w:pStyle w:val="ModlesEn-tte1"/>
      </w:pPr>
      <w:bookmarkStart w:id="19" w:name="_Toc413070268"/>
      <w:r w:rsidRPr="00BE1EBA">
        <w:lastRenderedPageBreak/>
        <w:t>PARTIE 4 – PROCÉDURES D</w:t>
      </w:r>
      <w:r w:rsidR="00812400" w:rsidRPr="00BE1EBA">
        <w:t>’</w:t>
      </w:r>
      <w:r w:rsidRPr="00BE1EBA">
        <w:t>ÉVALUATION ET MÉTHODE DE SÉLECTION</w:t>
      </w:r>
      <w:bookmarkEnd w:id="19"/>
    </w:p>
    <w:p w:rsidR="00B24B16" w:rsidRPr="00BE1EBA" w:rsidRDefault="00E334AD" w:rsidP="00232778">
      <w:pPr>
        <w:pStyle w:val="ModlesEn-tte2"/>
      </w:pPr>
      <w:bookmarkStart w:id="20" w:name="_Toc413070269"/>
      <w:r w:rsidRPr="00BE1EBA">
        <w:t>4.1</w:t>
      </w:r>
      <w:r w:rsidRPr="00BE1EBA">
        <w:tab/>
        <w:t>Procédures d</w:t>
      </w:r>
      <w:r w:rsidR="00812400" w:rsidRPr="00BE1EBA">
        <w:t>’</w:t>
      </w:r>
      <w:r w:rsidRPr="00BE1EBA">
        <w:t>évaluation</w:t>
      </w:r>
      <w:bookmarkEnd w:id="20"/>
    </w:p>
    <w:p w:rsidR="00B24B16" w:rsidRPr="00BE1EBA" w:rsidRDefault="00B24B16" w:rsidP="00D71BDD">
      <w:pPr>
        <w:ind w:left="567" w:hanging="567"/>
      </w:pPr>
      <w:r w:rsidRPr="00BE1EBA">
        <w:t>a)</w:t>
      </w:r>
      <w:r w:rsidRPr="00BE1EBA">
        <w:tab/>
        <w:t>Les arrangements seront évalués par rapport à l</w:t>
      </w:r>
      <w:r w:rsidR="00812400" w:rsidRPr="00BE1EBA">
        <w:t>’</w:t>
      </w:r>
      <w:r w:rsidRPr="00BE1EBA">
        <w:t>ensemble du besoin de la demande d</w:t>
      </w:r>
      <w:r w:rsidR="00812400" w:rsidRPr="00BE1EBA">
        <w:t>’</w:t>
      </w:r>
      <w:r w:rsidRPr="00BE1EBA">
        <w:t>arrangements en matière d</w:t>
      </w:r>
      <w:r w:rsidR="00812400" w:rsidRPr="00BE1EBA">
        <w:t>’</w:t>
      </w:r>
      <w:r w:rsidRPr="00BE1EBA">
        <w:t>approvisionnement incluant les critères d</w:t>
      </w:r>
      <w:r w:rsidR="00812400" w:rsidRPr="00BE1EBA">
        <w:t>’</w:t>
      </w:r>
      <w:r w:rsidRPr="00BE1EBA">
        <w:t>évaluation techniques et financiers.</w:t>
      </w:r>
    </w:p>
    <w:p w:rsidR="00B24B16" w:rsidRPr="00BE1EBA" w:rsidRDefault="00B24B16" w:rsidP="00D71BDD">
      <w:pPr>
        <w:ind w:left="567" w:hanging="567"/>
        <w:rPr>
          <w:b/>
          <w:bCs/>
        </w:rPr>
      </w:pPr>
      <w:r w:rsidRPr="00BE1EBA">
        <w:t>b)</w:t>
      </w:r>
      <w:r w:rsidRPr="00BE1EBA">
        <w:tab/>
        <w:t>Une équipe d</w:t>
      </w:r>
      <w:r w:rsidR="00812400" w:rsidRPr="00BE1EBA">
        <w:t>’</w:t>
      </w:r>
      <w:r w:rsidRPr="00BE1EBA">
        <w:t>évaluation composée de représentants du Canada évaluera les arrangements.</w:t>
      </w:r>
    </w:p>
    <w:p w:rsidR="00B24B16" w:rsidRPr="00BE1EBA" w:rsidRDefault="00E334AD" w:rsidP="005F083B">
      <w:pPr>
        <w:pStyle w:val="ModlesEn-tte3"/>
      </w:pPr>
      <w:bookmarkStart w:id="21" w:name="_Toc412634758"/>
      <w:r w:rsidRPr="00BE1EBA">
        <w:t>4.1.1</w:t>
      </w:r>
      <w:r w:rsidRPr="00BE1EBA">
        <w:tab/>
        <w:t>Évaluation technique</w:t>
      </w:r>
      <w:bookmarkEnd w:id="21"/>
    </w:p>
    <w:p w:rsidR="00467857" w:rsidRDefault="00467857" w:rsidP="008D21F4">
      <w:pPr>
        <w:pStyle w:val="NormalWeb"/>
      </w:pPr>
      <w:r w:rsidRPr="00467857">
        <w:rPr>
          <w:b/>
        </w:rPr>
        <w:t>4.1.1.1</w:t>
      </w:r>
      <w:r>
        <w:t xml:space="preserve"> </w:t>
      </w:r>
      <w:r w:rsidRPr="00BE1EBA">
        <w:rPr>
          <w:b/>
        </w:rPr>
        <w:t>Critères techniques obligatoires</w:t>
      </w:r>
    </w:p>
    <w:p w:rsidR="008D21F4" w:rsidRPr="00BE1EBA" w:rsidRDefault="008D21F4" w:rsidP="008D21F4">
      <w:pPr>
        <w:pStyle w:val="NormalWeb"/>
      </w:pPr>
      <w:r w:rsidRPr="00BE1EBA">
        <w:t>Les réponses à tous les critères techniques obligatoires doivent être présentées avec l</w:t>
      </w:r>
      <w:r w:rsidR="00812400" w:rsidRPr="00BE1EBA">
        <w:t>’</w:t>
      </w:r>
      <w:r w:rsidRPr="00BE1EBA">
        <w:t>arrangement au plus tard à la date et à l</w:t>
      </w:r>
      <w:r w:rsidR="00812400" w:rsidRPr="00BE1EBA">
        <w:t>’</w:t>
      </w:r>
      <w:r w:rsidRPr="00BE1EBA">
        <w:t xml:space="preserve">heure de clôture de la DAMA. </w:t>
      </w:r>
    </w:p>
    <w:tbl>
      <w:tblPr>
        <w:tblW w:w="9524" w:type="dxa"/>
        <w:tblInd w:w="108" w:type="dxa"/>
        <w:tblLayout w:type="fixed"/>
        <w:tblLook w:val="04A0"/>
      </w:tblPr>
      <w:tblGrid>
        <w:gridCol w:w="921"/>
        <w:gridCol w:w="8603"/>
      </w:tblGrid>
      <w:tr w:rsidR="008D21F4" w:rsidRPr="00BE1EBA" w:rsidTr="00287393">
        <w:tc>
          <w:tcPr>
            <w:tcW w:w="921" w:type="dxa"/>
            <w:tcBorders>
              <w:top w:val="single" w:sz="6" w:space="0" w:color="auto"/>
              <w:left w:val="single" w:sz="6" w:space="0" w:color="auto"/>
              <w:bottom w:val="single" w:sz="6" w:space="0" w:color="auto"/>
              <w:right w:val="single" w:sz="6" w:space="0" w:color="auto"/>
            </w:tcBorders>
            <w:shd w:val="clear" w:color="auto" w:fill="C0C0C0"/>
            <w:hideMark/>
          </w:tcPr>
          <w:p w:rsidR="008D21F4" w:rsidRPr="00BE1EBA" w:rsidRDefault="008D21F4" w:rsidP="00287393"/>
        </w:tc>
        <w:tc>
          <w:tcPr>
            <w:tcW w:w="8603" w:type="dxa"/>
            <w:tcBorders>
              <w:top w:val="single" w:sz="6" w:space="0" w:color="auto"/>
              <w:left w:val="single" w:sz="6" w:space="0" w:color="auto"/>
              <w:bottom w:val="single" w:sz="6" w:space="0" w:color="auto"/>
              <w:right w:val="single" w:sz="6" w:space="0" w:color="auto"/>
            </w:tcBorders>
            <w:shd w:val="clear" w:color="auto" w:fill="C0C0C0"/>
            <w:vAlign w:val="center"/>
            <w:hideMark/>
          </w:tcPr>
          <w:p w:rsidR="008D21F4" w:rsidRPr="00BE1EBA" w:rsidRDefault="008D21F4" w:rsidP="00287393">
            <w:pPr>
              <w:pStyle w:val="TableText"/>
              <w:rPr>
                <w:b/>
              </w:rPr>
            </w:pPr>
            <w:r w:rsidRPr="00BE1EBA">
              <w:rPr>
                <w:b/>
              </w:rPr>
              <w:t>Critères techniques obligatoires (CTO)</w:t>
            </w:r>
          </w:p>
        </w:tc>
      </w:tr>
      <w:tr w:rsidR="008D21F4" w:rsidRPr="00BE1EBA" w:rsidTr="00287393">
        <w:trPr>
          <w:trHeight w:val="411"/>
        </w:trPr>
        <w:tc>
          <w:tcPr>
            <w:tcW w:w="921" w:type="dxa"/>
            <w:tcBorders>
              <w:top w:val="single" w:sz="6" w:space="0" w:color="auto"/>
              <w:left w:val="single" w:sz="6" w:space="0" w:color="auto"/>
              <w:bottom w:val="single" w:sz="6" w:space="0" w:color="auto"/>
              <w:right w:val="single" w:sz="6" w:space="0" w:color="auto"/>
            </w:tcBorders>
            <w:hideMark/>
          </w:tcPr>
          <w:p w:rsidR="008D21F4" w:rsidRPr="00BE1EBA" w:rsidRDefault="008D21F4" w:rsidP="00287393">
            <w:pPr>
              <w:pStyle w:val="TableText"/>
            </w:pPr>
            <w:r w:rsidRPr="00BE1EBA">
              <w:t>CTO 1</w:t>
            </w:r>
          </w:p>
        </w:tc>
        <w:tc>
          <w:tcPr>
            <w:tcW w:w="8603" w:type="dxa"/>
            <w:tcBorders>
              <w:top w:val="single" w:sz="6" w:space="0" w:color="auto"/>
              <w:left w:val="single" w:sz="6" w:space="0" w:color="auto"/>
              <w:bottom w:val="single" w:sz="6" w:space="0" w:color="auto"/>
              <w:right w:val="single" w:sz="6" w:space="0" w:color="auto"/>
            </w:tcBorders>
          </w:tcPr>
          <w:p w:rsidR="008D21F4" w:rsidRPr="00BE1EBA" w:rsidRDefault="008D21F4" w:rsidP="00287393">
            <w:pPr>
              <w:rPr>
                <w:color w:val="1F497D"/>
              </w:rPr>
            </w:pPr>
            <w:r w:rsidRPr="00BE1EBA">
              <w:t>CTO 1.1</w:t>
            </w:r>
            <w:r w:rsidR="002A6210" w:rsidRPr="00BE1EBA">
              <w:t xml:space="preserve"> </w:t>
            </w:r>
          </w:p>
          <w:p w:rsidR="008D21F4" w:rsidRDefault="008D21F4" w:rsidP="00640D4B">
            <w:pPr>
              <w:pStyle w:val="TableText"/>
            </w:pPr>
            <w:r w:rsidRPr="00BE1EBA">
              <w:t xml:space="preserve">Le fournisseur doit remplir et présenter le catalogue des produits et services destinés aux </w:t>
            </w:r>
            <w:r w:rsidR="00A77994" w:rsidRPr="00BE1EBA">
              <w:t>postes de travail</w:t>
            </w:r>
            <w:r w:rsidRPr="00BE1EBA">
              <w:t xml:space="preserve"> (Annexe B) pour les produits et les services offerts dans le cadre du présent AMA. Les fournisseurs ne sont pas tenus d</w:t>
            </w:r>
            <w:r w:rsidR="00812400" w:rsidRPr="00BE1EBA">
              <w:t>’</w:t>
            </w:r>
            <w:r w:rsidRPr="00BE1EBA">
              <w:t>offrir</w:t>
            </w:r>
            <w:r w:rsidR="007E1338">
              <w:t xml:space="preserve"> </w:t>
            </w:r>
            <w:r w:rsidR="007E1338" w:rsidRPr="007A73FB">
              <w:t>tous les</w:t>
            </w:r>
            <w:r w:rsidRPr="007A73FB">
              <w:t xml:space="preserve"> </w:t>
            </w:r>
            <w:r w:rsidR="007A73FB" w:rsidRPr="007A73FB">
              <w:t>services liés aux produits</w:t>
            </w:r>
            <w:r w:rsidR="007B265D" w:rsidRPr="007A73FB">
              <w:t xml:space="preserve"> </w:t>
            </w:r>
            <w:r w:rsidRPr="007A73FB">
              <w:t>à l</w:t>
            </w:r>
            <w:r w:rsidR="00812400" w:rsidRPr="007A73FB">
              <w:t>’</w:t>
            </w:r>
            <w:r w:rsidRPr="007A73FB">
              <w:t>Annexe B.</w:t>
            </w:r>
            <w:r w:rsidRPr="00BE1EBA">
              <w:t xml:space="preserve"> Ils peuvent proposer au plus un produit par numéro de produit du gouvernement du Canada.</w:t>
            </w:r>
          </w:p>
          <w:p w:rsidR="007B265D" w:rsidRPr="00BE1EBA" w:rsidRDefault="007B265D" w:rsidP="00640D4B">
            <w:pPr>
              <w:pStyle w:val="TableText"/>
            </w:pPr>
          </w:p>
          <w:p w:rsidR="008D21F4" w:rsidRPr="00BE1EBA" w:rsidRDefault="008D21F4" w:rsidP="00640D4B">
            <w:pPr>
              <w:pStyle w:val="TableText"/>
            </w:pPr>
            <w:r w:rsidRPr="00BE1EBA">
              <w:t>CTO 1.2</w:t>
            </w:r>
          </w:p>
          <w:p w:rsidR="00640D4B" w:rsidRPr="00BE1EBA" w:rsidRDefault="00640D4B" w:rsidP="00640D4B">
            <w:pPr>
              <w:pStyle w:val="TableText"/>
            </w:pPr>
          </w:p>
          <w:p w:rsidR="008D21F4" w:rsidRPr="00BE1EBA" w:rsidRDefault="008D21F4" w:rsidP="00640D4B">
            <w:pPr>
              <w:pStyle w:val="TableText"/>
            </w:pPr>
            <w:r w:rsidRPr="00BE1EBA">
              <w:t xml:space="preserve">Pour prouver le respect du CTO 1,1, le fournisseur doit remplir et présenter le catalogue des produits et services destinés aux </w:t>
            </w:r>
            <w:r w:rsidR="00A77994" w:rsidRPr="00BE1EBA">
              <w:t>postes de travail</w:t>
            </w:r>
            <w:r w:rsidRPr="00BE1EBA">
              <w:t xml:space="preserve"> à l</w:t>
            </w:r>
            <w:r w:rsidR="00812400" w:rsidRPr="00BE1EBA">
              <w:t>’</w:t>
            </w:r>
            <w:r w:rsidRPr="00BE1EBA">
              <w:t>Annexe B en procédant de la façon suivante :</w:t>
            </w:r>
          </w:p>
          <w:p w:rsidR="008D21F4" w:rsidRPr="00BE1EBA" w:rsidRDefault="008D21F4" w:rsidP="00640D4B">
            <w:pPr>
              <w:pStyle w:val="TableText"/>
            </w:pPr>
          </w:p>
          <w:p w:rsidR="008D21F4" w:rsidRPr="00BE1EBA" w:rsidRDefault="008D21F4" w:rsidP="007B265D">
            <w:pPr>
              <w:pStyle w:val="TableText"/>
              <w:numPr>
                <w:ilvl w:val="0"/>
                <w:numId w:val="27"/>
              </w:numPr>
            </w:pPr>
            <w:r w:rsidRPr="00BE1EBA">
              <w:t>Ajout du nom du fabricant dans la colonne Fabricant pour chaque produit proposé</w:t>
            </w:r>
          </w:p>
          <w:p w:rsidR="008D21F4" w:rsidRPr="00BE1EBA" w:rsidRDefault="008D21F4" w:rsidP="007B265D">
            <w:pPr>
              <w:pStyle w:val="TableText"/>
              <w:numPr>
                <w:ilvl w:val="0"/>
                <w:numId w:val="27"/>
              </w:numPr>
            </w:pPr>
            <w:r w:rsidRPr="00BE1EBA">
              <w:t>Ajout du nom de la série dans la colonne Série pour chaque produit proposé</w:t>
            </w:r>
          </w:p>
          <w:p w:rsidR="008D21F4" w:rsidRPr="00BE1EBA" w:rsidRDefault="008D21F4" w:rsidP="007B265D">
            <w:pPr>
              <w:pStyle w:val="TableText"/>
              <w:numPr>
                <w:ilvl w:val="0"/>
                <w:numId w:val="27"/>
              </w:numPr>
            </w:pPr>
            <w:r w:rsidRPr="00BE1EBA">
              <w:t>Pour la SAEA seulement, indiquez dans la colonne Contenu canadien chaque produit satisfaisant aux critères de l</w:t>
            </w:r>
            <w:r w:rsidR="00812400" w:rsidRPr="00BE1EBA">
              <w:t>’</w:t>
            </w:r>
            <w:r w:rsidRPr="00BE1EBA">
              <w:t>attestation du contenu canadien.</w:t>
            </w:r>
          </w:p>
          <w:p w:rsidR="008D21F4" w:rsidRPr="00BE1EBA" w:rsidRDefault="008D21F4" w:rsidP="00640D4B">
            <w:pPr>
              <w:pStyle w:val="TableText"/>
            </w:pPr>
          </w:p>
          <w:p w:rsidR="008D21F4" w:rsidRPr="00BE1EBA" w:rsidRDefault="008D21F4" w:rsidP="00E15383">
            <w:pPr>
              <w:pStyle w:val="TableText"/>
            </w:pPr>
            <w:r w:rsidRPr="00BE1EBA">
              <w:t xml:space="preserve">Le fournisseur doit remplir </w:t>
            </w:r>
            <w:r w:rsidRPr="007A73FB">
              <w:t>l</w:t>
            </w:r>
            <w:r w:rsidR="00812400" w:rsidRPr="007A73FB">
              <w:t>’</w:t>
            </w:r>
            <w:r w:rsidRPr="007A73FB">
              <w:t>Annexe B</w:t>
            </w:r>
            <w:r w:rsidR="007B265D" w:rsidRPr="007A73FB">
              <w:t>-1</w:t>
            </w:r>
            <w:r w:rsidRPr="007A73FB">
              <w:t xml:space="preserve"> </w:t>
            </w:r>
            <w:r w:rsidR="007B265D">
              <w:t xml:space="preserve"> </w:t>
            </w:r>
            <w:r w:rsidR="00E15383">
              <w:t xml:space="preserve">et le fournir avec leur arrangement </w:t>
            </w:r>
            <w:r w:rsidRPr="00BE1EBA">
              <w:t xml:space="preserve">en format </w:t>
            </w:r>
            <w:r w:rsidR="00E15383">
              <w:t xml:space="preserve">compatible avec </w:t>
            </w:r>
            <w:r w:rsidRPr="00BE1EBA">
              <w:rPr>
                <w:i/>
              </w:rPr>
              <w:t>Microsoft Excel</w:t>
            </w:r>
            <w:r w:rsidRPr="00BE1EBA">
              <w:t xml:space="preserve"> </w:t>
            </w:r>
            <w:r w:rsidR="00E15383">
              <w:t xml:space="preserve">2007 </w:t>
            </w:r>
            <w:r w:rsidRPr="00BE1EBA">
              <w:t>(</w:t>
            </w:r>
            <w:r w:rsidR="00E15383">
              <w:t>.</w:t>
            </w:r>
            <w:proofErr w:type="spellStart"/>
            <w:r w:rsidR="00E15383">
              <w:t>xlsx</w:t>
            </w:r>
            <w:proofErr w:type="spellEnd"/>
            <w:r w:rsidR="00E15383">
              <w:t xml:space="preserve"> ou .</w:t>
            </w:r>
            <w:proofErr w:type="spellStart"/>
            <w:r w:rsidR="00E15383">
              <w:t>xls</w:t>
            </w:r>
            <w:proofErr w:type="spellEnd"/>
            <w:r w:rsidRPr="00BE1EBA">
              <w:t xml:space="preserve">) </w:t>
            </w:r>
            <w:r w:rsidR="00E15383">
              <w:t>sur un CD ou DVD. Tous les fichiers fournis doivent</w:t>
            </w:r>
            <w:r w:rsidRPr="00BE1EBA">
              <w:t xml:space="preserve"> être lisible par le responsable de l</w:t>
            </w:r>
            <w:r w:rsidR="00812400" w:rsidRPr="00BE1EBA">
              <w:t>’</w:t>
            </w:r>
            <w:r w:rsidRPr="00BE1EBA">
              <w:t xml:space="preserve">AMA. </w:t>
            </w:r>
          </w:p>
        </w:tc>
      </w:tr>
      <w:tr w:rsidR="008D21F4" w:rsidRPr="00BE1EBA" w:rsidTr="00287393">
        <w:trPr>
          <w:trHeight w:val="411"/>
        </w:trPr>
        <w:tc>
          <w:tcPr>
            <w:tcW w:w="921" w:type="dxa"/>
            <w:tcBorders>
              <w:top w:val="single" w:sz="6" w:space="0" w:color="auto"/>
              <w:left w:val="single" w:sz="6" w:space="0" w:color="auto"/>
              <w:bottom w:val="single" w:sz="6" w:space="0" w:color="auto"/>
              <w:right w:val="single" w:sz="6" w:space="0" w:color="auto"/>
            </w:tcBorders>
          </w:tcPr>
          <w:p w:rsidR="008D21F4" w:rsidRPr="00BE1EBA" w:rsidRDefault="008D21F4" w:rsidP="00287393">
            <w:pPr>
              <w:pStyle w:val="TableText"/>
            </w:pPr>
            <w:r w:rsidRPr="00BE1EBA">
              <w:t>CTO 2</w:t>
            </w:r>
          </w:p>
        </w:tc>
        <w:tc>
          <w:tcPr>
            <w:tcW w:w="8603" w:type="dxa"/>
            <w:tcBorders>
              <w:top w:val="single" w:sz="6" w:space="0" w:color="auto"/>
              <w:left w:val="single" w:sz="6" w:space="0" w:color="auto"/>
              <w:bottom w:val="single" w:sz="6" w:space="0" w:color="auto"/>
              <w:right w:val="single" w:sz="6" w:space="0" w:color="auto"/>
            </w:tcBorders>
          </w:tcPr>
          <w:p w:rsidR="008D21F4" w:rsidRPr="00BE1EBA" w:rsidRDefault="008D21F4" w:rsidP="00287393">
            <w:pPr>
              <w:pStyle w:val="TableText"/>
            </w:pPr>
            <w:r w:rsidRPr="00BE1EBA">
              <w:t xml:space="preserve">CTO 2.1 </w:t>
            </w:r>
          </w:p>
          <w:p w:rsidR="00CE3EAB" w:rsidRDefault="00CE3EAB" w:rsidP="00287393">
            <w:pPr>
              <w:pStyle w:val="TableText"/>
            </w:pPr>
          </w:p>
          <w:p w:rsidR="008D21F4" w:rsidRPr="00BE1EBA" w:rsidRDefault="008D21F4" w:rsidP="00287393">
            <w:pPr>
              <w:pStyle w:val="TableText"/>
            </w:pPr>
            <w:r w:rsidRPr="00BE1EBA">
              <w:t>Distributeur agréé en tant que fournisseur et titulaire éventuel de l</w:t>
            </w:r>
            <w:r w:rsidR="00812400" w:rsidRPr="00BE1EBA">
              <w:t>’</w:t>
            </w:r>
            <w:r w:rsidRPr="00BE1EBA">
              <w:t>AMA.</w:t>
            </w:r>
          </w:p>
          <w:p w:rsidR="008D21F4" w:rsidRPr="00BE1EBA" w:rsidRDefault="008D21F4" w:rsidP="00287393">
            <w:pPr>
              <w:pStyle w:val="TableText"/>
            </w:pPr>
            <w:r w:rsidRPr="00BE1EBA">
              <w:t>Si le fournisseur n</w:t>
            </w:r>
            <w:r w:rsidR="00812400" w:rsidRPr="00BE1EBA">
              <w:t>’</w:t>
            </w:r>
            <w:r w:rsidRPr="00BE1EBA">
              <w:t>est pas le fabricant des produits proposés, mais qu</w:t>
            </w:r>
            <w:r w:rsidR="00812400" w:rsidRPr="00BE1EBA">
              <w:t>’</w:t>
            </w:r>
            <w:r w:rsidRPr="00BE1EBA">
              <w:t>il présente une</w:t>
            </w:r>
          </w:p>
          <w:p w:rsidR="008D21F4" w:rsidRDefault="008D21F4" w:rsidP="00287393">
            <w:pPr>
              <w:pStyle w:val="TableText"/>
            </w:pPr>
            <w:r w:rsidRPr="00BE1EBA">
              <w:t>soumission dans laquelle il offre les produits d</w:t>
            </w:r>
            <w:r w:rsidR="00812400" w:rsidRPr="00BE1EBA">
              <w:t>’</w:t>
            </w:r>
            <w:r w:rsidRPr="00BE1EBA">
              <w:t>un ou de plusieurs fabricants, le fournisseur doit :</w:t>
            </w:r>
          </w:p>
          <w:p w:rsidR="00E15383" w:rsidRPr="00BE1EBA" w:rsidRDefault="00E15383" w:rsidP="00287393">
            <w:pPr>
              <w:pStyle w:val="TableText"/>
            </w:pPr>
          </w:p>
          <w:p w:rsidR="008D21F4" w:rsidRPr="00BE1EBA" w:rsidRDefault="00CE3EAB" w:rsidP="00FA4BE3">
            <w:pPr>
              <w:pStyle w:val="TableText"/>
              <w:numPr>
                <w:ilvl w:val="0"/>
                <w:numId w:val="30"/>
              </w:numPr>
              <w:tabs>
                <w:tab w:val="clear" w:pos="0"/>
                <w:tab w:val="left" w:pos="814"/>
              </w:tabs>
              <w:ind w:left="814" w:hanging="283"/>
              <w:rPr>
                <w:color w:val="262626"/>
              </w:rPr>
            </w:pPr>
            <w:r>
              <w:t>Ê</w:t>
            </w:r>
            <w:r w:rsidR="008D21F4" w:rsidRPr="00BE1EBA">
              <w:t xml:space="preserve">tre un distributeur agréé du ou des fabricants pour les produits </w:t>
            </w:r>
            <w:r w:rsidR="008D21F4" w:rsidRPr="007A73FB">
              <w:t>proposés</w:t>
            </w:r>
            <w:r w:rsidRPr="007A73FB">
              <w:t xml:space="preserve"> et</w:t>
            </w:r>
            <w:r w:rsidR="008D21F4" w:rsidRPr="007A73FB">
              <w:t>;</w:t>
            </w:r>
            <w:r w:rsidR="008D21F4" w:rsidRPr="00BE1EBA">
              <w:t xml:space="preserve"> </w:t>
            </w:r>
          </w:p>
          <w:p w:rsidR="00287393" w:rsidRPr="00BE1EBA" w:rsidRDefault="00CE3EAB" w:rsidP="00FA4BE3">
            <w:pPr>
              <w:pStyle w:val="TableText"/>
              <w:numPr>
                <w:ilvl w:val="0"/>
                <w:numId w:val="30"/>
              </w:numPr>
              <w:tabs>
                <w:tab w:val="clear" w:pos="0"/>
                <w:tab w:val="left" w:pos="814"/>
              </w:tabs>
              <w:ind w:left="814" w:hanging="283"/>
            </w:pPr>
            <w:r>
              <w:t>P</w:t>
            </w:r>
            <w:r w:rsidR="008D21F4" w:rsidRPr="00BE1EBA">
              <w:t>résenter une lettre d</w:t>
            </w:r>
            <w:r w:rsidR="00812400" w:rsidRPr="00BE1EBA">
              <w:t>’</w:t>
            </w:r>
            <w:r w:rsidR="008D21F4" w:rsidRPr="00BE1EBA">
              <w:t xml:space="preserve">autorisation de chacun des fabricants des produits proposés. </w:t>
            </w:r>
          </w:p>
          <w:p w:rsidR="00CE3EAB" w:rsidRDefault="00CE3EAB" w:rsidP="00287393">
            <w:pPr>
              <w:pStyle w:val="TableText"/>
            </w:pPr>
          </w:p>
          <w:p w:rsidR="008D21F4" w:rsidRDefault="008D21F4" w:rsidP="00287393">
            <w:pPr>
              <w:pStyle w:val="TableText"/>
            </w:pPr>
            <w:r w:rsidRPr="00BE1EBA">
              <w:t>Cette lettre doit :</w:t>
            </w:r>
          </w:p>
          <w:p w:rsidR="00CE3EAB" w:rsidRPr="00BE1EBA" w:rsidRDefault="00CE3EAB" w:rsidP="00287393">
            <w:pPr>
              <w:pStyle w:val="TableText"/>
            </w:pPr>
          </w:p>
          <w:p w:rsidR="008D21F4" w:rsidRPr="00BE1EBA" w:rsidRDefault="00CE3EAB" w:rsidP="00CE3EAB">
            <w:pPr>
              <w:pStyle w:val="ListParagraph"/>
              <w:numPr>
                <w:ilvl w:val="0"/>
                <w:numId w:val="28"/>
              </w:numPr>
              <w:tabs>
                <w:tab w:val="left" w:pos="814"/>
              </w:tabs>
              <w:ind w:left="814" w:hanging="283"/>
            </w:pPr>
            <w:r>
              <w:t>Ê</w:t>
            </w:r>
            <w:r w:rsidR="008D21F4" w:rsidRPr="00BE1EBA">
              <w:t>tre un original signé par le fabricant et porter l</w:t>
            </w:r>
            <w:r w:rsidR="00812400" w:rsidRPr="00BE1EBA">
              <w:t>’</w:t>
            </w:r>
            <w:r w:rsidR="008D21F4" w:rsidRPr="00BE1EBA">
              <w:t>en</w:t>
            </w:r>
            <w:r w:rsidR="003262E1" w:rsidRPr="00BE1EBA">
              <w:t>­</w:t>
            </w:r>
            <w:r w:rsidR="008D21F4" w:rsidRPr="00BE1EBA">
              <w:t>tête de ce dernier;</w:t>
            </w:r>
          </w:p>
          <w:p w:rsidR="008D21F4" w:rsidRPr="00BE1EBA" w:rsidRDefault="00CE3EAB" w:rsidP="00CE3EAB">
            <w:pPr>
              <w:pStyle w:val="ListParagraph"/>
              <w:numPr>
                <w:ilvl w:val="0"/>
                <w:numId w:val="28"/>
              </w:numPr>
              <w:tabs>
                <w:tab w:val="left" w:pos="814"/>
              </w:tabs>
              <w:ind w:left="814" w:hanging="283"/>
            </w:pPr>
            <w:r>
              <w:t>É</w:t>
            </w:r>
            <w:r w:rsidR="008D21F4" w:rsidRPr="00BE1EBA">
              <w:t xml:space="preserve">numérer les noms de série des </w:t>
            </w:r>
            <w:r w:rsidR="008D21F4" w:rsidRPr="007A73FB">
              <w:t xml:space="preserve">produits </w:t>
            </w:r>
            <w:r w:rsidRPr="007A73FB">
              <w:t>offerts</w:t>
            </w:r>
            <w:r w:rsidR="008D21F4" w:rsidRPr="007A73FB">
              <w:t>;</w:t>
            </w:r>
          </w:p>
          <w:p w:rsidR="008D21F4" w:rsidRPr="00BE1EBA" w:rsidRDefault="00CE3EAB" w:rsidP="00CE3EAB">
            <w:pPr>
              <w:pStyle w:val="ListParagraph"/>
              <w:numPr>
                <w:ilvl w:val="0"/>
                <w:numId w:val="28"/>
              </w:numPr>
              <w:tabs>
                <w:tab w:val="left" w:pos="814"/>
              </w:tabs>
              <w:ind w:left="814" w:hanging="283"/>
            </w:pPr>
            <w:r>
              <w:t>C</w:t>
            </w:r>
            <w:r w:rsidR="008D21F4" w:rsidRPr="00BE1EBA">
              <w:t xml:space="preserve">onfirmer que le fournisseur est en fait un marchand autorisé des séries des produits proposées dans la lettre. </w:t>
            </w:r>
          </w:p>
        </w:tc>
      </w:tr>
    </w:tbl>
    <w:p w:rsidR="008D21F4" w:rsidRPr="00BE1EBA" w:rsidRDefault="008D21F4" w:rsidP="005F083B">
      <w:pPr>
        <w:pStyle w:val="ModlesEn-tte3"/>
      </w:pPr>
      <w:bookmarkStart w:id="22" w:name="_Toc412634759"/>
      <w:r w:rsidRPr="00BE1EBA">
        <w:lastRenderedPageBreak/>
        <w:t>4.1.2</w:t>
      </w:r>
      <w:r w:rsidRPr="00BE1EBA">
        <w:tab/>
        <w:t>Évaluation de gestion</w:t>
      </w:r>
      <w:bookmarkEnd w:id="22"/>
    </w:p>
    <w:p w:rsidR="007F52B3" w:rsidRDefault="008D21F4" w:rsidP="007F52B3">
      <w:pPr>
        <w:pStyle w:val="ModlesEn-tte3"/>
      </w:pPr>
      <w:bookmarkStart w:id="23" w:name="_Toc412634760"/>
      <w:r w:rsidRPr="00BE1EBA">
        <w:t>4.1.2.1</w:t>
      </w:r>
      <w:r w:rsidRPr="00BE1EBA">
        <w:tab/>
        <w:t>Critères de gestion obligatoires</w:t>
      </w:r>
      <w:bookmarkEnd w:id="23"/>
    </w:p>
    <w:p w:rsidR="008D21F4" w:rsidRPr="00BE1EBA" w:rsidRDefault="008D21F4" w:rsidP="007F52B3">
      <w:r w:rsidRPr="00BE1EBA">
        <w:t>Les réponses à tous les critères de gestion obligatoires doivent être fournies avec l</w:t>
      </w:r>
      <w:r w:rsidR="00812400" w:rsidRPr="00BE1EBA">
        <w:t>’</w:t>
      </w:r>
      <w:r w:rsidR="007F52B3">
        <w:t xml:space="preserve">arrangement </w:t>
      </w:r>
      <w:r w:rsidRPr="00BE1EBA">
        <w:t>au plus tard à la date et à l</w:t>
      </w:r>
      <w:r w:rsidR="00812400" w:rsidRPr="00BE1EBA">
        <w:t>’</w:t>
      </w:r>
      <w:r w:rsidRPr="00BE1EBA">
        <w:t>heure de clôture de la DAMA</w:t>
      </w:r>
      <w:r w:rsidR="00EF7715" w:rsidRPr="00BE1E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5"/>
      </w:tblGrid>
      <w:tr w:rsidR="008D21F4" w:rsidRPr="00BE1EBA" w:rsidTr="00287393">
        <w:tc>
          <w:tcPr>
            <w:tcW w:w="1101" w:type="dxa"/>
            <w:shd w:val="clear" w:color="auto" w:fill="D9D9D9"/>
          </w:tcPr>
          <w:p w:rsidR="008D21F4" w:rsidRPr="00BE1EBA" w:rsidRDefault="008D21F4" w:rsidP="00287393"/>
        </w:tc>
        <w:tc>
          <w:tcPr>
            <w:tcW w:w="8475" w:type="dxa"/>
            <w:shd w:val="clear" w:color="auto" w:fill="D9D9D9"/>
            <w:vAlign w:val="center"/>
          </w:tcPr>
          <w:p w:rsidR="008D21F4" w:rsidRPr="00BE1EBA" w:rsidRDefault="008D21F4" w:rsidP="00287393">
            <w:pPr>
              <w:pStyle w:val="TableText"/>
              <w:rPr>
                <w:b/>
              </w:rPr>
            </w:pPr>
            <w:r w:rsidRPr="00BE1EBA">
              <w:rPr>
                <w:b/>
              </w:rPr>
              <w:t>Critères de gestion obligatoires (CGO)</w:t>
            </w:r>
          </w:p>
        </w:tc>
      </w:tr>
      <w:tr w:rsidR="008D21F4" w:rsidRPr="00BE1EBA" w:rsidTr="00287393">
        <w:trPr>
          <w:trHeight w:val="70"/>
        </w:trPr>
        <w:tc>
          <w:tcPr>
            <w:tcW w:w="1101" w:type="dxa"/>
          </w:tcPr>
          <w:p w:rsidR="008D21F4" w:rsidRPr="00BE1EBA" w:rsidRDefault="008D21F4" w:rsidP="00287393">
            <w:r w:rsidRPr="00BE1EBA">
              <w:rPr>
                <w:shd w:val="clear" w:color="auto" w:fill="FFFFFF"/>
              </w:rPr>
              <w:t>CGO 1</w:t>
            </w:r>
          </w:p>
        </w:tc>
        <w:tc>
          <w:tcPr>
            <w:tcW w:w="8475" w:type="dxa"/>
          </w:tcPr>
          <w:p w:rsidR="008D21F4" w:rsidRPr="00BE1EBA" w:rsidRDefault="008D21F4" w:rsidP="00287393">
            <w:pPr>
              <w:pStyle w:val="TableText"/>
            </w:pPr>
            <w:r w:rsidRPr="00BE1EBA">
              <w:t>CGO 1.1</w:t>
            </w:r>
          </w:p>
          <w:p w:rsidR="00CE3EAB" w:rsidRDefault="00CE3EAB" w:rsidP="00287393">
            <w:pPr>
              <w:pStyle w:val="TableText"/>
            </w:pPr>
          </w:p>
          <w:p w:rsidR="008D21F4" w:rsidRPr="00BE1EBA" w:rsidRDefault="008D21F4" w:rsidP="00287393">
            <w:pPr>
              <w:pStyle w:val="TableText"/>
            </w:pPr>
            <w:r w:rsidRPr="00BE1EBA">
              <w:t>Portée des travaux – À l</w:t>
            </w:r>
            <w:r w:rsidR="00812400" w:rsidRPr="00BE1EBA">
              <w:t>’</w:t>
            </w:r>
            <w:r w:rsidRPr="00BE1EBA">
              <w:t>échelle nationale (dans tout le Canada, à l</w:t>
            </w:r>
            <w:r w:rsidR="00812400" w:rsidRPr="00BE1EBA">
              <w:t>’</w:t>
            </w:r>
            <w:r w:rsidRPr="00BE1EBA">
              <w:t>exception des zones assujetties à des ententes sur les revendications territoriales globales (ERTG))</w:t>
            </w:r>
          </w:p>
          <w:p w:rsidR="008D21F4" w:rsidRDefault="008D21F4" w:rsidP="00287393">
            <w:pPr>
              <w:pStyle w:val="TableText"/>
            </w:pPr>
            <w:r w:rsidRPr="00BE1EBA">
              <w:t>Ce critère s</w:t>
            </w:r>
            <w:r w:rsidR="00812400" w:rsidRPr="00BE1EBA">
              <w:t>’</w:t>
            </w:r>
            <w:r w:rsidRPr="00BE1EBA">
              <w:t>applique aux fournisseurs visés par la SAEA dont l</w:t>
            </w:r>
            <w:r w:rsidR="00812400" w:rsidRPr="00BE1EBA">
              <w:t>’</w:t>
            </w:r>
            <w:r w:rsidRPr="00BE1EBA">
              <w:t>offre n</w:t>
            </w:r>
            <w:r w:rsidR="00812400" w:rsidRPr="00BE1EBA">
              <w:t>’</w:t>
            </w:r>
            <w:r w:rsidRPr="00BE1EBA">
              <w:t>a qu</w:t>
            </w:r>
            <w:r w:rsidR="00812400" w:rsidRPr="00BE1EBA">
              <w:t>’</w:t>
            </w:r>
            <w:r w:rsidRPr="00BE1EBA">
              <w:t xml:space="preserve">une portée nationale; </w:t>
            </w:r>
          </w:p>
          <w:p w:rsidR="00CE3EAB" w:rsidRDefault="00CE3EAB" w:rsidP="00287393">
            <w:pPr>
              <w:pStyle w:val="TableText"/>
            </w:pPr>
          </w:p>
          <w:p w:rsidR="008D21F4" w:rsidRPr="00BE1EBA" w:rsidRDefault="00CE3EAB" w:rsidP="00287393">
            <w:pPr>
              <w:pStyle w:val="TableText"/>
            </w:pPr>
            <w:r>
              <w:t>À</w:t>
            </w:r>
            <w:r w:rsidR="008D21F4" w:rsidRPr="00BE1EBA">
              <w:t xml:space="preserve"> tous les fournisseurs généraux.</w:t>
            </w:r>
          </w:p>
          <w:p w:rsidR="008D21F4" w:rsidRPr="00BE1EBA" w:rsidRDefault="008D21F4" w:rsidP="00287393">
            <w:pPr>
              <w:pStyle w:val="TableText"/>
            </w:pPr>
            <w:r w:rsidRPr="00BE1EBA">
              <w:t>Pour l</w:t>
            </w:r>
            <w:r w:rsidR="00812400" w:rsidRPr="00BE1EBA">
              <w:t>’</w:t>
            </w:r>
            <w:r w:rsidRPr="00BE1EBA">
              <w:t>ensemble des produits offerts, le fournisseur doit effectuer les travaux dans toutes les régions indiquées dans le tableau 1 du paragraphe 12.3.1</w:t>
            </w:r>
            <w:r w:rsidR="003262E1" w:rsidRPr="00BE1EBA">
              <w:t>­</w:t>
            </w:r>
            <w:r w:rsidRPr="00BE1EBA">
              <w:t>N, Portée nationale de la partie 6A.</w:t>
            </w:r>
          </w:p>
          <w:p w:rsidR="008D21F4" w:rsidRPr="00BE1EBA" w:rsidRDefault="008D21F4" w:rsidP="00287393">
            <w:pPr>
              <w:pStyle w:val="TableText"/>
            </w:pPr>
          </w:p>
          <w:p w:rsidR="008D21F4" w:rsidRDefault="008D21F4" w:rsidP="00287393">
            <w:pPr>
              <w:pStyle w:val="TableText"/>
            </w:pPr>
            <w:r w:rsidRPr="00BE1EBA">
              <w:t>CGO 1.2</w:t>
            </w:r>
          </w:p>
          <w:p w:rsidR="00467857" w:rsidRPr="00BE1EBA" w:rsidRDefault="00467857" w:rsidP="00287393">
            <w:pPr>
              <w:pStyle w:val="TableText"/>
            </w:pPr>
          </w:p>
          <w:p w:rsidR="008D21F4" w:rsidRPr="00BE1EBA" w:rsidRDefault="008D21F4" w:rsidP="00467857">
            <w:r w:rsidRPr="00BE1EBA">
              <w:t>Pour prouver le respect du critère CGO 1.1, le fournisseur doit remplir et présenter l</w:t>
            </w:r>
            <w:r w:rsidR="00812400" w:rsidRPr="00BE1EBA">
              <w:t>’</w:t>
            </w:r>
            <w:r w:rsidRPr="00BE1EBA">
              <w:t>A</w:t>
            </w:r>
            <w:r w:rsidR="00467857">
              <w:t>ppendice</w:t>
            </w:r>
            <w:r w:rsidRPr="00BE1EBA">
              <w:t xml:space="preserve"> A – Portée des travaux. Ces tableaux doivent être </w:t>
            </w:r>
            <w:r w:rsidR="00467857">
              <w:t xml:space="preserve">remplis et </w:t>
            </w:r>
            <w:r w:rsidR="00467857" w:rsidRPr="00BE1EBA">
              <w:t xml:space="preserve">fournis </w:t>
            </w:r>
            <w:r w:rsidRPr="00BE1EBA">
              <w:t>sur un CD</w:t>
            </w:r>
            <w:r w:rsidR="00467857">
              <w:t xml:space="preserve"> ou DVD </w:t>
            </w:r>
            <w:r w:rsidRPr="00BE1EBA">
              <w:t>qui doit être lisible par le responsable de l</w:t>
            </w:r>
            <w:r w:rsidR="00812400" w:rsidRPr="00BE1EBA">
              <w:t>’</w:t>
            </w:r>
            <w:r w:rsidRPr="00BE1EBA">
              <w:t xml:space="preserve">AMA. </w:t>
            </w:r>
          </w:p>
        </w:tc>
      </w:tr>
      <w:tr w:rsidR="008D21F4" w:rsidRPr="00BE1EBA" w:rsidTr="00287393">
        <w:tc>
          <w:tcPr>
            <w:tcW w:w="1101" w:type="dxa"/>
          </w:tcPr>
          <w:p w:rsidR="008D21F4" w:rsidRPr="00BE1EBA" w:rsidRDefault="008D21F4" w:rsidP="00287393">
            <w:r w:rsidRPr="00BE1EBA">
              <w:rPr>
                <w:shd w:val="clear" w:color="auto" w:fill="FFFFFF"/>
              </w:rPr>
              <w:t>CGO 2</w:t>
            </w:r>
          </w:p>
        </w:tc>
        <w:tc>
          <w:tcPr>
            <w:tcW w:w="8475" w:type="dxa"/>
          </w:tcPr>
          <w:p w:rsidR="008D21F4" w:rsidRPr="00BE1EBA" w:rsidRDefault="008D21F4" w:rsidP="00287393">
            <w:pPr>
              <w:pStyle w:val="TableText"/>
            </w:pPr>
            <w:r w:rsidRPr="00BE1EBA">
              <w:t xml:space="preserve">CGO 2.1 </w:t>
            </w:r>
          </w:p>
          <w:p w:rsidR="007F52B3" w:rsidRDefault="007F52B3" w:rsidP="00287393">
            <w:pPr>
              <w:pStyle w:val="TableText"/>
            </w:pPr>
          </w:p>
          <w:p w:rsidR="008D21F4" w:rsidRPr="00BE1EBA" w:rsidRDefault="008D21F4" w:rsidP="00287393">
            <w:pPr>
              <w:pStyle w:val="TableText"/>
            </w:pPr>
            <w:r w:rsidRPr="00BE1EBA">
              <w:t>Portée des travaux – À l</w:t>
            </w:r>
            <w:r w:rsidR="00812400" w:rsidRPr="00BE1EBA">
              <w:t>’</w:t>
            </w:r>
            <w:r w:rsidRPr="00BE1EBA">
              <w:t>échelle régionale (couvrant une ou plusieurs régions dans l</w:t>
            </w:r>
            <w:r w:rsidR="00812400" w:rsidRPr="00BE1EBA">
              <w:t>’</w:t>
            </w:r>
            <w:r w:rsidRPr="00BE1EBA">
              <w:t>ensemble du pays, à l</w:t>
            </w:r>
            <w:r w:rsidR="00812400" w:rsidRPr="00BE1EBA">
              <w:t>’</w:t>
            </w:r>
            <w:r w:rsidRPr="00BE1EBA">
              <w:t>exception</w:t>
            </w:r>
          </w:p>
          <w:p w:rsidR="008D21F4" w:rsidRPr="00BE1EBA" w:rsidRDefault="008D21F4" w:rsidP="00287393">
            <w:pPr>
              <w:pStyle w:val="TableText"/>
            </w:pPr>
            <w:r w:rsidRPr="00BE1EBA">
              <w:t>des zones assujetties à des ERTG)</w:t>
            </w:r>
          </w:p>
          <w:p w:rsidR="007F52B3" w:rsidRDefault="007F52B3" w:rsidP="00287393">
            <w:pPr>
              <w:pStyle w:val="TableText"/>
            </w:pPr>
          </w:p>
          <w:p w:rsidR="008D21F4" w:rsidRPr="00BE1EBA" w:rsidRDefault="008D21F4" w:rsidP="00287393">
            <w:pPr>
              <w:pStyle w:val="TableText"/>
            </w:pPr>
            <w:r w:rsidRPr="00BE1EBA">
              <w:t>Ce critère s</w:t>
            </w:r>
            <w:r w:rsidR="00812400" w:rsidRPr="00BE1EBA">
              <w:t>’</w:t>
            </w:r>
            <w:r w:rsidRPr="00BE1EBA">
              <w:t>applique aux fournisseurs visés par la SAEA dont l</w:t>
            </w:r>
            <w:r w:rsidR="00812400" w:rsidRPr="00BE1EBA">
              <w:t>’</w:t>
            </w:r>
            <w:r w:rsidRPr="00BE1EBA">
              <w:t>offre vise une région et non l</w:t>
            </w:r>
            <w:r w:rsidR="00812400" w:rsidRPr="00BE1EBA">
              <w:t>’</w:t>
            </w:r>
            <w:r w:rsidRPr="00BE1EBA">
              <w:t>ensemble du pays.</w:t>
            </w:r>
          </w:p>
          <w:p w:rsidR="007F52B3" w:rsidRDefault="007F52B3" w:rsidP="00287393">
            <w:pPr>
              <w:pStyle w:val="TableText"/>
            </w:pPr>
          </w:p>
          <w:p w:rsidR="008D21F4" w:rsidRPr="00BE1EBA" w:rsidRDefault="008D21F4" w:rsidP="00287393">
            <w:pPr>
              <w:pStyle w:val="TableText"/>
            </w:pPr>
            <w:r w:rsidRPr="00BE1EBA">
              <w:t>CGO 2.2</w:t>
            </w:r>
          </w:p>
          <w:p w:rsidR="007F52B3" w:rsidRDefault="007F52B3" w:rsidP="00287393">
            <w:pPr>
              <w:pStyle w:val="TableText"/>
            </w:pPr>
          </w:p>
          <w:p w:rsidR="008D21F4" w:rsidRPr="00BE1EBA" w:rsidRDefault="008D21F4" w:rsidP="00287393">
            <w:pPr>
              <w:pStyle w:val="TableText"/>
            </w:pPr>
            <w:r w:rsidRPr="00BE1EBA">
              <w:t>Pour l</w:t>
            </w:r>
            <w:r w:rsidR="00812400" w:rsidRPr="00BE1EBA">
              <w:t>’</w:t>
            </w:r>
            <w:r w:rsidRPr="00BE1EBA">
              <w:t>ensemble des produits offerts, le fournisseur doit exécuter les travaux dans l</w:t>
            </w:r>
            <w:r w:rsidR="00812400" w:rsidRPr="00BE1EBA">
              <w:t>’</w:t>
            </w:r>
            <w:r w:rsidRPr="00BE1EBA">
              <w:t>ensemble des régions</w:t>
            </w:r>
            <w:r w:rsidR="007F52B3">
              <w:t xml:space="preserve"> </w:t>
            </w:r>
            <w:r w:rsidRPr="00BE1EBA">
              <w:t>qu</w:t>
            </w:r>
            <w:r w:rsidR="00812400" w:rsidRPr="00BE1EBA">
              <w:t>’</w:t>
            </w:r>
            <w:r w:rsidRPr="00BE1EBA">
              <w:t>il a indiquées dans le tableau 1 du paragraphe 12.3.1</w:t>
            </w:r>
            <w:r w:rsidR="003262E1" w:rsidRPr="00BE1EBA">
              <w:t>­</w:t>
            </w:r>
            <w:r w:rsidRPr="00BE1EBA">
              <w:t>R, Portée régionale, de la partie 6A.</w:t>
            </w:r>
          </w:p>
          <w:p w:rsidR="007F52B3" w:rsidRDefault="007F52B3" w:rsidP="00287393">
            <w:pPr>
              <w:pStyle w:val="TableText"/>
            </w:pPr>
          </w:p>
          <w:p w:rsidR="008D21F4" w:rsidRPr="00BE1EBA" w:rsidRDefault="00DA418B" w:rsidP="00287393">
            <w:pPr>
              <w:pStyle w:val="TableText"/>
            </w:pPr>
            <w:r w:rsidRPr="00BE1EBA">
              <w:t>Pour prouv</w:t>
            </w:r>
            <w:r>
              <w:t>er le respect du critère CGO 2</w:t>
            </w:r>
            <w:r w:rsidRPr="00BE1EBA">
              <w:t>, le fournisseur doit remplir et présenter l’A</w:t>
            </w:r>
            <w:r>
              <w:t>ppendice</w:t>
            </w:r>
            <w:r w:rsidRPr="00BE1EBA">
              <w:t xml:space="preserve"> A – Portée des travaux. Ces tableaux doivent être </w:t>
            </w:r>
            <w:r>
              <w:t xml:space="preserve">remplis et </w:t>
            </w:r>
            <w:r w:rsidRPr="00BE1EBA">
              <w:t>fournis sur un CD</w:t>
            </w:r>
            <w:r>
              <w:t xml:space="preserve"> ou DVD </w:t>
            </w:r>
            <w:r w:rsidRPr="00BE1EBA">
              <w:t>qui doit être lisible par le responsable de l’AMA.</w:t>
            </w:r>
          </w:p>
        </w:tc>
      </w:tr>
    </w:tbl>
    <w:p w:rsidR="000605B8" w:rsidRPr="00BE1EBA" w:rsidRDefault="000605B8">
      <w:pPr>
        <w:pStyle w:val="DefaultText"/>
        <w:rPr>
          <w:b/>
          <w:bCs/>
        </w:rPr>
      </w:pPr>
    </w:p>
    <w:p w:rsidR="00B24B16" w:rsidRPr="00BE1EBA" w:rsidRDefault="00E334AD">
      <w:pPr>
        <w:pStyle w:val="DefaultText"/>
        <w:rPr>
          <w:b/>
          <w:bCs/>
        </w:rPr>
      </w:pPr>
      <w:r w:rsidRPr="00BE1EBA">
        <w:rPr>
          <w:b/>
        </w:rPr>
        <w:t>4.1.2</w:t>
      </w:r>
      <w:r w:rsidRPr="00BE1EBA">
        <w:tab/>
      </w:r>
      <w:r w:rsidRPr="00BE1EBA">
        <w:rPr>
          <w:b/>
        </w:rPr>
        <w:t>Évaluation financière</w:t>
      </w:r>
    </w:p>
    <w:p w:rsidR="008D21F4" w:rsidRPr="00BE1EBA" w:rsidRDefault="008D21F4" w:rsidP="008D21F4">
      <w:r w:rsidRPr="00BE1EBA">
        <w:t>4.1.3.1 Critères financiers obligatoires</w:t>
      </w:r>
    </w:p>
    <w:p w:rsidR="008D21F4" w:rsidRPr="00BE1EBA" w:rsidRDefault="008D21F4" w:rsidP="008D21F4">
      <w:r w:rsidRPr="00BE1EBA">
        <w:t>a) Les réponses à tous les critères financiers obligatoires doivent être fournies avec l</w:t>
      </w:r>
      <w:r w:rsidR="00812400" w:rsidRPr="00BE1EBA">
        <w:t>’</w:t>
      </w:r>
      <w:r w:rsidRPr="00BE1EBA">
        <w:t>arrangement au plus tard à la date et à l</w:t>
      </w:r>
      <w:r w:rsidR="00812400" w:rsidRPr="00BE1EBA">
        <w:t>’</w:t>
      </w:r>
      <w:r w:rsidRPr="00BE1EBA">
        <w:t>heure de clôture de la DAMA.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5"/>
      </w:tblGrid>
      <w:tr w:rsidR="008D21F4" w:rsidRPr="00BE1EBA" w:rsidTr="00287393">
        <w:tc>
          <w:tcPr>
            <w:tcW w:w="1101" w:type="dxa"/>
            <w:shd w:val="clear" w:color="auto" w:fill="BFBFBF"/>
          </w:tcPr>
          <w:p w:rsidR="008D21F4" w:rsidRPr="00BE1EBA" w:rsidRDefault="008D21F4" w:rsidP="00287393"/>
        </w:tc>
        <w:tc>
          <w:tcPr>
            <w:tcW w:w="8475" w:type="dxa"/>
            <w:shd w:val="clear" w:color="auto" w:fill="BFBFBF"/>
          </w:tcPr>
          <w:p w:rsidR="008D21F4" w:rsidRPr="00BE1EBA" w:rsidRDefault="008D21F4" w:rsidP="00287393">
            <w:r w:rsidRPr="00BE1EBA">
              <w:t>Critères financiers obligatoires (CFO)</w:t>
            </w:r>
          </w:p>
        </w:tc>
      </w:tr>
      <w:tr w:rsidR="008D21F4" w:rsidRPr="00BE1EBA" w:rsidTr="00287393">
        <w:tc>
          <w:tcPr>
            <w:tcW w:w="1101" w:type="dxa"/>
          </w:tcPr>
          <w:p w:rsidR="008D21F4" w:rsidRPr="00BE1EBA" w:rsidRDefault="008D21F4" w:rsidP="00287393">
            <w:r w:rsidRPr="00BE1EBA">
              <w:t>CFO 1</w:t>
            </w:r>
          </w:p>
          <w:p w:rsidR="008D21F4" w:rsidRPr="00BE1EBA" w:rsidRDefault="008D21F4" w:rsidP="00287393"/>
        </w:tc>
        <w:tc>
          <w:tcPr>
            <w:tcW w:w="8475" w:type="dxa"/>
          </w:tcPr>
          <w:p w:rsidR="008D21F4" w:rsidRPr="00BE1EBA" w:rsidRDefault="008D21F4" w:rsidP="00287393">
            <w:r w:rsidRPr="00BE1EBA">
              <w:t>CFO 1.1</w:t>
            </w:r>
          </w:p>
          <w:p w:rsidR="008D21F4" w:rsidRPr="00BE1EBA" w:rsidRDefault="008D21F4" w:rsidP="00287393">
            <w:pPr>
              <w:pStyle w:val="TableText"/>
            </w:pPr>
            <w:r w:rsidRPr="00BE1EBA">
              <w:t xml:space="preserve">Le fournisseur doit proposer un prix unitaire plafond pour chaque produit proposé et un taux horaire maximum pour chaque service lié à un produit offert dans le catalogue des produits et des services destinés aux </w:t>
            </w:r>
            <w:r w:rsidR="00A77994" w:rsidRPr="00BE1EBA">
              <w:t>postes de travail</w:t>
            </w:r>
            <w:r w:rsidRPr="00BE1EBA">
              <w:t xml:space="preserve"> de l</w:t>
            </w:r>
            <w:r w:rsidR="00812400" w:rsidRPr="00BE1EBA">
              <w:t>’</w:t>
            </w:r>
            <w:r w:rsidRPr="00BE1EBA">
              <w:t xml:space="preserve">Annexe B. </w:t>
            </w:r>
          </w:p>
          <w:p w:rsidR="008D21F4" w:rsidRDefault="008D21F4" w:rsidP="00287393">
            <w:pPr>
              <w:pStyle w:val="TableText"/>
            </w:pPr>
            <w:r w:rsidRPr="00BE1EBA">
              <w:lastRenderedPageBreak/>
              <w:t>Chaque prix unitaire plafond et chaque taux horaire maximum doit satisfaire aux exigences suivantes :</w:t>
            </w:r>
          </w:p>
          <w:p w:rsidR="007F52B3" w:rsidRPr="00BE1EBA" w:rsidRDefault="007F52B3" w:rsidP="00287393">
            <w:pPr>
              <w:pStyle w:val="TableText"/>
            </w:pPr>
          </w:p>
          <w:p w:rsidR="008D21F4" w:rsidRPr="00BE1EBA" w:rsidRDefault="008D21F4" w:rsidP="007F52B3">
            <w:pPr>
              <w:pStyle w:val="TableText"/>
              <w:tabs>
                <w:tab w:val="clear" w:pos="0"/>
                <w:tab w:val="left" w:pos="600"/>
              </w:tabs>
              <w:ind w:left="600" w:hanging="317"/>
            </w:pPr>
            <w:r w:rsidRPr="00BE1EBA">
              <w:t>a) il doit être exprimé en dollars canadiens;</w:t>
            </w:r>
          </w:p>
          <w:p w:rsidR="008D21F4" w:rsidRPr="00BE1EBA" w:rsidRDefault="008D21F4" w:rsidP="007F52B3">
            <w:pPr>
              <w:pStyle w:val="TableText"/>
              <w:tabs>
                <w:tab w:val="clear" w:pos="0"/>
                <w:tab w:val="left" w:pos="600"/>
              </w:tabs>
              <w:ind w:left="600" w:hanging="317"/>
            </w:pPr>
            <w:r w:rsidRPr="00BE1EBA">
              <w:t>b) il doit être en vigueur pendant la période établie au sous</w:t>
            </w:r>
            <w:r w:rsidR="003262E1" w:rsidRPr="00BE1EBA">
              <w:t>­</w:t>
            </w:r>
            <w:r w:rsidRPr="00BE1EBA">
              <w:t>alinéa 3.1</w:t>
            </w:r>
            <w:r w:rsidRPr="00BE1EBA">
              <w:rPr>
                <w:i/>
              </w:rPr>
              <w:t>b</w:t>
            </w:r>
            <w:r w:rsidRPr="00BE1EBA">
              <w:t>)(i) de la partie 6A à compter de la publication de l</w:t>
            </w:r>
            <w:r w:rsidR="00812400" w:rsidRPr="00BE1EBA">
              <w:t>’</w:t>
            </w:r>
            <w:r w:rsidRPr="00BE1EBA">
              <w:t>AMA;</w:t>
            </w:r>
          </w:p>
          <w:p w:rsidR="008D21F4" w:rsidRPr="00BE1EBA" w:rsidRDefault="008D21F4" w:rsidP="007F52B3">
            <w:pPr>
              <w:pStyle w:val="TableText"/>
              <w:tabs>
                <w:tab w:val="clear" w:pos="0"/>
                <w:tab w:val="left" w:pos="600"/>
              </w:tabs>
              <w:ind w:left="600" w:hanging="317"/>
            </w:pPr>
            <w:r w:rsidRPr="00BE1EBA">
              <w:t>c) il ne doit pas inclure les frais de livraison et d</w:t>
            </w:r>
            <w:r w:rsidR="00812400" w:rsidRPr="00BE1EBA">
              <w:t>’</w:t>
            </w:r>
            <w:r w:rsidRPr="00BE1EBA">
              <w:t>installation des produits ainsi que l</w:t>
            </w:r>
            <w:r w:rsidR="00812400" w:rsidRPr="00BE1EBA">
              <w:t>’</w:t>
            </w:r>
            <w:r w:rsidRPr="00BE1EBA">
              <w:t>ensemble des taxes applicables.</w:t>
            </w:r>
          </w:p>
          <w:p w:rsidR="008D21F4" w:rsidRPr="00BE1EBA" w:rsidRDefault="008D21F4" w:rsidP="00287393">
            <w:pPr>
              <w:pStyle w:val="TableText"/>
            </w:pPr>
          </w:p>
          <w:p w:rsidR="008D21F4" w:rsidRPr="00BE1EBA" w:rsidRDefault="008D21F4" w:rsidP="00287393">
            <w:pPr>
              <w:pStyle w:val="TableText"/>
            </w:pPr>
            <w:r w:rsidRPr="00BE1EBA">
              <w:t xml:space="preserve">CFO 1.2 </w:t>
            </w:r>
          </w:p>
          <w:p w:rsidR="008D21F4" w:rsidRDefault="008D21F4" w:rsidP="00287393">
            <w:pPr>
              <w:pStyle w:val="TableText"/>
            </w:pPr>
            <w:r w:rsidRPr="00BE1EBA">
              <w:t xml:space="preserve">Pour prouver le respect du CFO 1.1, le fournisseur doit remplir et présenter le catalogue des produits et services destinés aux </w:t>
            </w:r>
            <w:r w:rsidR="00A77994" w:rsidRPr="00BE1EBA">
              <w:t>postes de travail</w:t>
            </w:r>
            <w:r w:rsidRPr="00BE1EBA">
              <w:t xml:space="preserve"> à l</w:t>
            </w:r>
            <w:r w:rsidR="00812400" w:rsidRPr="00BE1EBA">
              <w:t>’</w:t>
            </w:r>
            <w:r w:rsidRPr="00BE1EBA">
              <w:t>Annexe B en procédant de la façon suivante :</w:t>
            </w:r>
          </w:p>
          <w:p w:rsidR="007F52B3" w:rsidRPr="00BE1EBA" w:rsidRDefault="007F52B3" w:rsidP="00287393">
            <w:pPr>
              <w:pStyle w:val="TableText"/>
            </w:pPr>
          </w:p>
          <w:p w:rsidR="008D21F4" w:rsidRPr="00BE1EBA" w:rsidRDefault="008D21F4" w:rsidP="00D76919">
            <w:pPr>
              <w:pStyle w:val="TableText"/>
              <w:numPr>
                <w:ilvl w:val="0"/>
                <w:numId w:val="2"/>
              </w:numPr>
            </w:pPr>
            <w:r w:rsidRPr="00BE1EBA">
              <w:t>Ajout du prix unitaire plafond dans la colonne Prix plafond pour chaque produit offert.</w:t>
            </w:r>
          </w:p>
          <w:p w:rsidR="008D21F4" w:rsidRPr="00BE1EBA" w:rsidRDefault="008D21F4" w:rsidP="00287393">
            <w:pPr>
              <w:pStyle w:val="TableText"/>
              <w:numPr>
                <w:ilvl w:val="0"/>
                <w:numId w:val="2"/>
              </w:numPr>
            </w:pPr>
            <w:r w:rsidRPr="00BE1EBA">
              <w:t xml:space="preserve">Ajout du taux horaire maximum pour chaque service lié à un produit offert. </w:t>
            </w:r>
          </w:p>
          <w:p w:rsidR="008D21F4" w:rsidRPr="0058556B" w:rsidRDefault="0058556B" w:rsidP="0058556B">
            <w:pPr>
              <w:pStyle w:val="ModlesEn-tte2"/>
              <w:ind w:left="0" w:firstLine="0"/>
              <w:rPr>
                <w:b w:val="0"/>
              </w:rPr>
            </w:pPr>
            <w:r w:rsidRPr="0058556B">
              <w:rPr>
                <w:b w:val="0"/>
              </w:rPr>
              <w:t xml:space="preserve">Les fournisseurs doivent fournir et remplir l’annexe B-1 avec l’arrangement dans un format compatible avec </w:t>
            </w:r>
            <w:r w:rsidRPr="0058556B">
              <w:rPr>
                <w:b w:val="0"/>
                <w:i/>
              </w:rPr>
              <w:t>Microsoft Excel</w:t>
            </w:r>
            <w:r w:rsidRPr="0058556B">
              <w:rPr>
                <w:b w:val="0"/>
              </w:rPr>
              <w:t xml:space="preserve"> 2007 (.</w:t>
            </w:r>
            <w:proofErr w:type="spellStart"/>
            <w:r w:rsidRPr="0058556B">
              <w:rPr>
                <w:b w:val="0"/>
              </w:rPr>
              <w:t>xlsx</w:t>
            </w:r>
            <w:proofErr w:type="spellEnd"/>
            <w:r w:rsidRPr="0058556B">
              <w:rPr>
                <w:b w:val="0"/>
              </w:rPr>
              <w:t xml:space="preserve"> ou .</w:t>
            </w:r>
            <w:proofErr w:type="spellStart"/>
            <w:r w:rsidRPr="0058556B">
              <w:rPr>
                <w:b w:val="0"/>
              </w:rPr>
              <w:t>xls</w:t>
            </w:r>
            <w:proofErr w:type="spellEnd"/>
            <w:r w:rsidRPr="0058556B">
              <w:rPr>
                <w:b w:val="0"/>
              </w:rPr>
              <w:t>) sur un CD ou DVD. Tous les fichiers fournis doivent être lisible par le responsable de l’AMA.</w:t>
            </w:r>
          </w:p>
        </w:tc>
      </w:tr>
    </w:tbl>
    <w:p w:rsidR="00287393" w:rsidRDefault="00287393" w:rsidP="00232778">
      <w:pPr>
        <w:pStyle w:val="ModlesEn-tte2"/>
      </w:pPr>
    </w:p>
    <w:p w:rsidR="00B24B16" w:rsidRPr="00BE1EBA" w:rsidRDefault="00E334AD" w:rsidP="00232778">
      <w:pPr>
        <w:pStyle w:val="ModlesEn-tte2"/>
      </w:pPr>
      <w:bookmarkStart w:id="24" w:name="_Toc413070270"/>
      <w:r w:rsidRPr="00BE1EBA">
        <w:t>4.2</w:t>
      </w:r>
      <w:r w:rsidRPr="00BE1EBA">
        <w:tab/>
        <w:t>Méthode de sélection</w:t>
      </w:r>
      <w:bookmarkEnd w:id="24"/>
    </w:p>
    <w:p w:rsidR="000605B8" w:rsidRPr="00BE1EBA" w:rsidRDefault="000605B8" w:rsidP="000605B8">
      <w:pPr>
        <w:tabs>
          <w:tab w:val="left" w:pos="567"/>
        </w:tabs>
        <w:ind w:left="567" w:hanging="567"/>
      </w:pPr>
      <w:r w:rsidRPr="00BE1EBA">
        <w:t xml:space="preserve">a) </w:t>
      </w:r>
      <w:r w:rsidRPr="00BE1EBA">
        <w:tab/>
        <w:t>Pour être jugé recevable, un arrangement doit être conforme aux exigences de la DAMA et satisfaire à tous les critères d</w:t>
      </w:r>
      <w:r w:rsidR="00812400" w:rsidRPr="00BE1EBA">
        <w:t>’</w:t>
      </w:r>
      <w:r w:rsidRPr="00BE1EBA">
        <w:t>évaluation techniques, de gestion et financiers.</w:t>
      </w:r>
    </w:p>
    <w:p w:rsidR="000605B8" w:rsidRPr="00BE1EBA" w:rsidRDefault="000605B8" w:rsidP="000605B8">
      <w:pPr>
        <w:tabs>
          <w:tab w:val="left" w:pos="567"/>
        </w:tabs>
      </w:pPr>
      <w:r w:rsidRPr="00BE1EBA">
        <w:t>b)</w:t>
      </w:r>
      <w:r w:rsidRPr="00BE1EBA">
        <w:tab/>
        <w:t>Pour chaque arrangement déclaré recevable, la publication d</w:t>
      </w:r>
      <w:r w:rsidR="00812400" w:rsidRPr="00BE1EBA">
        <w:t>’</w:t>
      </w:r>
      <w:r w:rsidRPr="00BE1EBA">
        <w:t>un AMA sera recommandée.</w:t>
      </w:r>
    </w:p>
    <w:p w:rsidR="000605B8" w:rsidRPr="00BE1EBA" w:rsidRDefault="000605B8" w:rsidP="000605B8">
      <w:pPr>
        <w:tabs>
          <w:tab w:val="left" w:pos="567"/>
        </w:tabs>
      </w:pPr>
      <w:r w:rsidRPr="00BE1EBA">
        <w:t xml:space="preserve">c) </w:t>
      </w:r>
      <w:r w:rsidRPr="00BE1EBA">
        <w:tab/>
        <w:t>Aucun fournisseur ne se verra attribuer plus d</w:t>
      </w:r>
      <w:r w:rsidR="00812400" w:rsidRPr="00BE1EBA">
        <w:t>’</w:t>
      </w:r>
      <w:r w:rsidRPr="00BE1EBA">
        <w:t>un AMA.</w:t>
      </w:r>
    </w:p>
    <w:p w:rsidR="000605B8" w:rsidRPr="00BE1EBA" w:rsidRDefault="006D3CB4">
      <w:pPr>
        <w:spacing w:after="0"/>
        <w:rPr>
          <w:szCs w:val="20"/>
        </w:rPr>
      </w:pPr>
      <w:r w:rsidRPr="00BE1EBA">
        <w:br w:type="page"/>
      </w:r>
    </w:p>
    <w:p w:rsidR="00B24B16" w:rsidRPr="00BE1EBA" w:rsidRDefault="000605B8" w:rsidP="00467857">
      <w:pPr>
        <w:pStyle w:val="ModlesEn-tte1"/>
      </w:pPr>
      <w:bookmarkStart w:id="25" w:name="_Toc413070271"/>
      <w:r w:rsidRPr="00BE1EBA">
        <w:lastRenderedPageBreak/>
        <w:t>PARTIE 5 – ATTESTATIONS</w:t>
      </w:r>
      <w:bookmarkEnd w:id="25"/>
    </w:p>
    <w:p w:rsidR="00B24B16" w:rsidRPr="00BE1EBA" w:rsidRDefault="00B24B16">
      <w:pPr>
        <w:pStyle w:val="DefaultText"/>
      </w:pPr>
      <w:r w:rsidRPr="00BE1EBA">
        <w:t>Les fournisseurs doivent fournir les attestations et les renseignements connexes exigés pour qu</w:t>
      </w:r>
      <w:r w:rsidR="00812400" w:rsidRPr="00BE1EBA">
        <w:t>’</w:t>
      </w:r>
      <w:r w:rsidRPr="00BE1EBA">
        <w:t>un arrangement en matière d</w:t>
      </w:r>
      <w:r w:rsidR="00812400" w:rsidRPr="00BE1EBA">
        <w:t>’</w:t>
      </w:r>
      <w:r w:rsidRPr="00BE1EBA">
        <w:t>approvisionnement (AMA) leur soit émis.</w:t>
      </w:r>
    </w:p>
    <w:p w:rsidR="00B24B16" w:rsidRPr="00BE1EBA" w:rsidRDefault="00B24B16">
      <w:pPr>
        <w:pStyle w:val="DefaultText"/>
      </w:pPr>
      <w:r w:rsidRPr="00BE1EBA">
        <w:t>Les attestations que les fournisseurs remettent au Canada peuvent faire l</w:t>
      </w:r>
      <w:r w:rsidR="00812400" w:rsidRPr="00BE1EBA">
        <w:t>’</w:t>
      </w:r>
      <w:r w:rsidRPr="00BE1EBA">
        <w:t>objet d</w:t>
      </w:r>
      <w:r w:rsidR="00812400" w:rsidRPr="00BE1EBA">
        <w:t>’</w:t>
      </w:r>
      <w:r w:rsidRPr="00BE1EBA">
        <w:t>une vérification par le Canada à tout moment par ce dernier. Le Canada déclarera un arrangement non recevable, ou à un manquement de la part de l</w:t>
      </w:r>
      <w:r w:rsidR="00812400" w:rsidRPr="00BE1EBA">
        <w:t>’</w:t>
      </w:r>
      <w:r w:rsidRPr="00BE1EBA">
        <w:t>entrepreneur à l</w:t>
      </w:r>
      <w:r w:rsidR="00812400" w:rsidRPr="00BE1EBA">
        <w:t>’</w:t>
      </w:r>
      <w:r w:rsidRPr="00BE1EBA">
        <w:t>une de ses obligations prévues au contrat, s</w:t>
      </w:r>
      <w:r w:rsidR="00812400" w:rsidRPr="00BE1EBA">
        <w:t>’</w:t>
      </w:r>
      <w:r w:rsidRPr="00BE1EBA">
        <w:t>il est établi qu</w:t>
      </w:r>
      <w:r w:rsidR="00812400" w:rsidRPr="00BE1EBA">
        <w:t>’</w:t>
      </w:r>
      <w:r w:rsidRPr="00BE1EBA">
        <w:t>une attestation est fausse, sciemment ou non, que ce soit pendant la période d</w:t>
      </w:r>
      <w:r w:rsidR="00812400" w:rsidRPr="00BE1EBA">
        <w:t>’</w:t>
      </w:r>
      <w:r w:rsidRPr="00BE1EBA">
        <w:t>évaluation des arrangements, ou pendant la durée de tout arrangement en matière d</w:t>
      </w:r>
      <w:r w:rsidR="00812400" w:rsidRPr="00BE1EBA">
        <w:t>’</w:t>
      </w:r>
      <w:r w:rsidRPr="00BE1EBA">
        <w:t>approvisionnement découlant de cette DAMA et tous contrats subséquents.</w:t>
      </w:r>
    </w:p>
    <w:p w:rsidR="00B24B16" w:rsidRPr="00BE1EBA" w:rsidRDefault="00B24B16">
      <w:pPr>
        <w:pStyle w:val="DefaultText"/>
      </w:pPr>
      <w:r w:rsidRPr="00BE1EBA">
        <w:t>Le responsable de l</w:t>
      </w:r>
      <w:r w:rsidR="00812400" w:rsidRPr="00BE1EBA">
        <w:t>’</w:t>
      </w:r>
      <w:r w:rsidRPr="00BE1EBA">
        <w:t>arrangement en matière d</w:t>
      </w:r>
      <w:r w:rsidR="00812400" w:rsidRPr="00BE1EBA">
        <w:t>’</w:t>
      </w:r>
      <w:r w:rsidRPr="00BE1EBA">
        <w:t>approvisionnement aura le droit de demander des renseignements supplémentaires pour vérifier les attestations du fournisseur. À défaut de répondre et de coopérer à toute demande ou exigence imposée par le responsable de l</w:t>
      </w:r>
      <w:r w:rsidR="00812400" w:rsidRPr="00BE1EBA">
        <w:t>’</w:t>
      </w:r>
      <w:r w:rsidRPr="00BE1EBA">
        <w:t>arrangement en matière d</w:t>
      </w:r>
      <w:r w:rsidR="00812400" w:rsidRPr="00BE1EBA">
        <w:t>’</w:t>
      </w:r>
      <w:r w:rsidRPr="00BE1EBA">
        <w:t>approvisionnement, l</w:t>
      </w:r>
      <w:r w:rsidR="00812400" w:rsidRPr="00BE1EBA">
        <w:t>’</w:t>
      </w:r>
      <w:r w:rsidRPr="00BE1EBA">
        <w:t>arrangement peut être déclaré non recevable, ou constituer un manquement aux termes du contrat.</w:t>
      </w:r>
    </w:p>
    <w:p w:rsidR="00B24B16" w:rsidRPr="00BE1EBA" w:rsidRDefault="00E334AD" w:rsidP="00232778">
      <w:pPr>
        <w:pStyle w:val="ModlesEn-tte2"/>
      </w:pPr>
      <w:bookmarkStart w:id="26" w:name="_Toc413070272"/>
      <w:r w:rsidRPr="00BE1EBA">
        <w:t>5.1</w:t>
      </w:r>
      <w:r w:rsidRPr="00BE1EBA">
        <w:tab/>
        <w:t>Attestations préalables à l</w:t>
      </w:r>
      <w:r w:rsidR="00812400" w:rsidRPr="00BE1EBA">
        <w:t>’</w:t>
      </w:r>
      <w:r w:rsidRPr="00BE1EBA">
        <w:t>émission d</w:t>
      </w:r>
      <w:r w:rsidR="00812400" w:rsidRPr="00BE1EBA">
        <w:t>’</w:t>
      </w:r>
      <w:r w:rsidRPr="00BE1EBA">
        <w:t>un arrangement en matière d</w:t>
      </w:r>
      <w:r w:rsidR="00812400" w:rsidRPr="00BE1EBA">
        <w:t>’</w:t>
      </w:r>
      <w:r w:rsidRPr="00BE1EBA">
        <w:t>approvisionnement</w:t>
      </w:r>
      <w:bookmarkEnd w:id="26"/>
    </w:p>
    <w:p w:rsidR="006E2B9F" w:rsidRPr="00BE1EBA" w:rsidRDefault="006E2B9F" w:rsidP="00884A22">
      <w:r w:rsidRPr="00BE1EBA">
        <w:t>Les attestations énumérées ci</w:t>
      </w:r>
      <w:r w:rsidR="003262E1" w:rsidRPr="00BE1EBA">
        <w:t>­</w:t>
      </w:r>
      <w:r w:rsidRPr="00BE1EBA">
        <w:t>dessous devraient être remplies et fournies avec l</w:t>
      </w:r>
      <w:r w:rsidR="00812400" w:rsidRPr="00BE1EBA">
        <w:t>’</w:t>
      </w:r>
      <w:r w:rsidRPr="00BE1EBA">
        <w:t>arrangement mais elles peuvent être fournies plus tard. Si l</w:t>
      </w:r>
      <w:r w:rsidR="00812400" w:rsidRPr="00BE1EBA">
        <w:t>’</w:t>
      </w:r>
      <w:r w:rsidRPr="00BE1EBA">
        <w:t>une de ces attestations n</w:t>
      </w:r>
      <w:r w:rsidR="00812400" w:rsidRPr="00BE1EBA">
        <w:t>’</w:t>
      </w:r>
      <w:r w:rsidRPr="00BE1EBA">
        <w:t>est pas remplie et fournie tel que demandé, le responsable de l</w:t>
      </w:r>
      <w:r w:rsidR="00812400" w:rsidRPr="00BE1EBA">
        <w:t>’</w:t>
      </w:r>
      <w:r w:rsidRPr="00BE1EBA">
        <w:t>arrangement en matière d</w:t>
      </w:r>
      <w:r w:rsidR="00812400" w:rsidRPr="00BE1EBA">
        <w:t>’</w:t>
      </w:r>
      <w:r w:rsidRPr="00BE1EBA">
        <w:t>approvisionnement informera le fournisseur du délai à l</w:t>
      </w:r>
      <w:r w:rsidR="00812400" w:rsidRPr="00BE1EBA">
        <w:t>’</w:t>
      </w:r>
      <w:r w:rsidRPr="00BE1EBA">
        <w:t>intérieur duquel les renseignements doivent être fournis. À défaut de se conformer à la demande du responsable de l</w:t>
      </w:r>
      <w:r w:rsidR="00812400" w:rsidRPr="00BE1EBA">
        <w:t>’</w:t>
      </w:r>
      <w:r w:rsidRPr="00BE1EBA">
        <w:t>arrangement en matière d</w:t>
      </w:r>
      <w:r w:rsidR="00812400" w:rsidRPr="00BE1EBA">
        <w:t>’</w:t>
      </w:r>
      <w:r w:rsidRPr="00BE1EBA">
        <w:t>approvisionnement et de fournir les attestations dans le délai prévu, l</w:t>
      </w:r>
      <w:r w:rsidR="00812400" w:rsidRPr="00BE1EBA">
        <w:t>’</w:t>
      </w:r>
      <w:r w:rsidRPr="00BE1EBA">
        <w:t>arrangement sera déclaré non recevable.</w:t>
      </w:r>
    </w:p>
    <w:p w:rsidR="006852F7" w:rsidRPr="00BE1EBA" w:rsidRDefault="00E334AD" w:rsidP="005F083B">
      <w:pPr>
        <w:pStyle w:val="ModlesEn-tte3"/>
      </w:pPr>
      <w:bookmarkStart w:id="27" w:name="_Toc412634764"/>
      <w:r w:rsidRPr="00BE1EBA">
        <w:t>5.1.1</w:t>
      </w:r>
      <w:r w:rsidRPr="00BE1EBA">
        <w:tab/>
        <w:t>Dispositions relatives à l</w:t>
      </w:r>
      <w:r w:rsidR="00812400" w:rsidRPr="00BE1EBA">
        <w:t>’</w:t>
      </w:r>
      <w:r w:rsidRPr="00BE1EBA">
        <w:t>intégrité – renseignements connexes</w:t>
      </w:r>
      <w:bookmarkEnd w:id="27"/>
    </w:p>
    <w:p w:rsidR="004B2D97" w:rsidRPr="00BE1EBA" w:rsidRDefault="00B24B16" w:rsidP="00884A22">
      <w:pPr>
        <w:pStyle w:val="DefaultText"/>
      </w:pPr>
      <w:r w:rsidRPr="00BE1EBA">
        <w:t>En présentant un arrangement, le fournisseur atteste que le fournisseur et ses affiliés respectent les dispositions stipulées à l</w:t>
      </w:r>
      <w:r w:rsidR="00812400" w:rsidRPr="00BE1EBA">
        <w:t>’</w:t>
      </w:r>
      <w:r w:rsidRPr="00BE1EBA">
        <w:t>article 01 Dispositions relatives à l</w:t>
      </w:r>
      <w:r w:rsidR="00812400" w:rsidRPr="00BE1EBA">
        <w:t>’</w:t>
      </w:r>
      <w:r w:rsidRPr="00BE1EBA">
        <w:t>intégrité</w:t>
      </w:r>
      <w:r w:rsidR="002A6210" w:rsidRPr="00BE1EBA">
        <w:t xml:space="preserve"> – </w:t>
      </w:r>
      <w:r w:rsidRPr="00BE1EBA">
        <w:t xml:space="preserve">arrangement, des instructions uniformisées </w:t>
      </w:r>
      <w:hyperlink r:id="rId12" w:history="1">
        <w:r w:rsidRPr="00BE1EBA">
          <w:rPr>
            <w:rStyle w:val="ViewedAnchorA"/>
          </w:rPr>
          <w:t>2008</w:t>
        </w:r>
      </w:hyperlink>
      <w:r w:rsidRPr="00BE1EBA">
        <w:t>. Les renseignements connexes, tel que requis aux dispositions relatives à l</w:t>
      </w:r>
      <w:r w:rsidR="00812400" w:rsidRPr="00BE1EBA">
        <w:t>’</w:t>
      </w:r>
      <w:r w:rsidRPr="00BE1EBA">
        <w:t>intégrité, assisteront le Canada à confirmer que les attestations sont véridiques</w:t>
      </w:r>
      <w:r w:rsidR="00EF7715" w:rsidRPr="00BE1EBA">
        <w:t xml:space="preserve">. </w:t>
      </w:r>
    </w:p>
    <w:p w:rsidR="00B24B16" w:rsidRPr="00BE1EBA" w:rsidRDefault="00E334AD" w:rsidP="00232778">
      <w:pPr>
        <w:pStyle w:val="ModlesEn-tte3"/>
      </w:pPr>
      <w:r w:rsidRPr="00BE1EBA">
        <w:t>5.1.2</w:t>
      </w:r>
      <w:r w:rsidRPr="00BE1EBA">
        <w:tab/>
        <w:t>Attestations additionnelles préalables à l</w:t>
      </w:r>
      <w:r w:rsidR="00812400" w:rsidRPr="00BE1EBA">
        <w:t>’</w:t>
      </w:r>
      <w:r w:rsidRPr="00BE1EBA">
        <w:t>émission d</w:t>
      </w:r>
      <w:r w:rsidR="00812400" w:rsidRPr="00BE1EBA">
        <w:t>’</w:t>
      </w:r>
      <w:r w:rsidRPr="00BE1EBA">
        <w:t>un arrangement en matière d</w:t>
      </w:r>
      <w:r w:rsidR="00812400" w:rsidRPr="00BE1EBA">
        <w:t>’</w:t>
      </w:r>
      <w:r w:rsidRPr="00BE1EBA">
        <w:t>approvisionnement</w:t>
      </w:r>
    </w:p>
    <w:p w:rsidR="009A576A" w:rsidRPr="00BE1EBA" w:rsidRDefault="009A576A" w:rsidP="00D76919">
      <w:pPr>
        <w:pStyle w:val="ListParagraph"/>
        <w:numPr>
          <w:ilvl w:val="0"/>
          <w:numId w:val="6"/>
        </w:numPr>
        <w:ind w:left="567" w:hanging="567"/>
      </w:pPr>
      <w:r w:rsidRPr="00BE1EBA">
        <w:t>Ce marché est réservé dans le cadre de la Stratégie d</w:t>
      </w:r>
      <w:r w:rsidR="00812400" w:rsidRPr="00BE1EBA">
        <w:t>’</w:t>
      </w:r>
      <w:r w:rsidRPr="00BE1EBA">
        <w:t xml:space="preserve">approvisionnement auprès des entreprises autochtones du gouvernement fédéral. Pour de plus amples renseignements concernant les exigences requises des entreprises autochtones conformément au Programme de marchés réservés aux entreprises autochtones, consulter </w:t>
      </w:r>
      <w:hyperlink r:id="rId13" w:history="1">
        <w:r w:rsidRPr="00BE1EBA">
          <w:rPr>
            <w:rStyle w:val="Hyperlink"/>
          </w:rPr>
          <w:t>l</w:t>
        </w:r>
        <w:r w:rsidR="00812400" w:rsidRPr="00BE1EBA">
          <w:rPr>
            <w:rStyle w:val="Hyperlink"/>
          </w:rPr>
          <w:t>’</w:t>
        </w:r>
        <w:r w:rsidRPr="00BE1EBA">
          <w:rPr>
            <w:rStyle w:val="Hyperlink"/>
          </w:rPr>
          <w:t>Annexe 9.4</w:t>
        </w:r>
      </w:hyperlink>
      <w:r w:rsidRPr="00BE1EBA">
        <w:t xml:space="preserve">, du </w:t>
      </w:r>
      <w:r w:rsidRPr="00BE1EBA">
        <w:rPr>
          <w:rStyle w:val="HTMLCite"/>
        </w:rPr>
        <w:t>Guide des approvisionnements</w:t>
      </w:r>
      <w:r w:rsidRPr="00BE1EBA">
        <w:t>.</w:t>
      </w:r>
    </w:p>
    <w:p w:rsidR="00CD02A5" w:rsidRPr="00BE1EBA" w:rsidRDefault="00CD02A5" w:rsidP="00CD02A5">
      <w:pPr>
        <w:pStyle w:val="ListParagraph"/>
        <w:ind w:left="567"/>
      </w:pPr>
    </w:p>
    <w:p w:rsidR="009A576A" w:rsidRPr="00BE1EBA" w:rsidRDefault="009A576A" w:rsidP="00D76919">
      <w:pPr>
        <w:pStyle w:val="ListParagraph"/>
        <w:numPr>
          <w:ilvl w:val="0"/>
          <w:numId w:val="6"/>
        </w:numPr>
        <w:ind w:left="567" w:hanging="567"/>
      </w:pPr>
      <w:r w:rsidRPr="00BE1EBA">
        <w:t xml:space="preserve">Le fournisseur : </w:t>
      </w:r>
    </w:p>
    <w:p w:rsidR="009A576A" w:rsidRPr="00BE1EBA" w:rsidRDefault="009A576A" w:rsidP="00D76919">
      <w:pPr>
        <w:numPr>
          <w:ilvl w:val="1"/>
          <w:numId w:val="3"/>
        </w:numPr>
        <w:tabs>
          <w:tab w:val="clear" w:pos="1440"/>
          <w:tab w:val="num" w:pos="1134"/>
        </w:tabs>
        <w:spacing w:before="100" w:beforeAutospacing="1" w:after="100" w:afterAutospacing="1"/>
        <w:ind w:left="1134" w:hanging="567"/>
      </w:pPr>
      <w:r w:rsidRPr="00BE1EBA">
        <w:t>atteste qu</w:t>
      </w:r>
      <w:r w:rsidR="00812400" w:rsidRPr="00BE1EBA">
        <w:t>’</w:t>
      </w:r>
      <w:r w:rsidRPr="00BE1EBA">
        <w:t>il respecte et continuera de respecter durant toute la durée de l</w:t>
      </w:r>
      <w:r w:rsidR="00812400" w:rsidRPr="00BE1EBA">
        <w:t>’</w:t>
      </w:r>
      <w:r w:rsidRPr="00BE1EBA">
        <w:t>arrangement, les exigences décrites à l</w:t>
      </w:r>
      <w:r w:rsidR="00812400" w:rsidRPr="00BE1EBA">
        <w:t>’</w:t>
      </w:r>
      <w:r w:rsidRPr="00BE1EBA">
        <w:t>annexe ci</w:t>
      </w:r>
      <w:r w:rsidR="003262E1" w:rsidRPr="00BE1EBA">
        <w:t>­</w:t>
      </w:r>
      <w:r w:rsidRPr="00BE1EBA">
        <w:t>haut mentionnée.</w:t>
      </w:r>
    </w:p>
    <w:p w:rsidR="009A576A" w:rsidRPr="00BE1EBA" w:rsidRDefault="009A576A" w:rsidP="00D76919">
      <w:pPr>
        <w:numPr>
          <w:ilvl w:val="1"/>
          <w:numId w:val="4"/>
        </w:numPr>
        <w:tabs>
          <w:tab w:val="clear" w:pos="1440"/>
          <w:tab w:val="num" w:pos="1134"/>
        </w:tabs>
        <w:spacing w:before="100" w:beforeAutospacing="1" w:after="100" w:afterAutospacing="1"/>
        <w:ind w:left="1134" w:hanging="567"/>
      </w:pPr>
      <w:r w:rsidRPr="00BE1EBA">
        <w:t>convient que tout sous</w:t>
      </w:r>
      <w:r w:rsidR="003262E1" w:rsidRPr="00BE1EBA">
        <w:t>­</w:t>
      </w:r>
      <w:r w:rsidRPr="00BE1EBA">
        <w:t>traitant engagé par lui aux fins du présent arrangement doit respecter les exigences décrites à l</w:t>
      </w:r>
      <w:r w:rsidR="00812400" w:rsidRPr="00BE1EBA">
        <w:t>’</w:t>
      </w:r>
      <w:r w:rsidRPr="00BE1EBA">
        <w:t>annexe ci</w:t>
      </w:r>
      <w:r w:rsidR="003262E1" w:rsidRPr="00BE1EBA">
        <w:t>­</w:t>
      </w:r>
      <w:r w:rsidRPr="00BE1EBA">
        <w:t>haut mentionnée.</w:t>
      </w:r>
    </w:p>
    <w:p w:rsidR="00CD02A5" w:rsidRPr="00BE1EBA" w:rsidRDefault="009A576A" w:rsidP="00D76919">
      <w:pPr>
        <w:numPr>
          <w:ilvl w:val="1"/>
          <w:numId w:val="5"/>
        </w:numPr>
        <w:tabs>
          <w:tab w:val="clear" w:pos="1440"/>
          <w:tab w:val="num" w:pos="1134"/>
        </w:tabs>
        <w:spacing w:before="100" w:beforeAutospacing="1" w:after="100" w:afterAutospacing="1"/>
        <w:ind w:left="1134" w:hanging="567"/>
      </w:pPr>
      <w:r w:rsidRPr="00BE1EBA">
        <w:t>convient de fournir immédiatement au Canada, sur demande, toute preuve attestant de la conformité de quelque sous</w:t>
      </w:r>
      <w:r w:rsidR="003262E1" w:rsidRPr="00BE1EBA">
        <w:t>­</w:t>
      </w:r>
      <w:r w:rsidRPr="00BE1EBA">
        <w:t>traitant que ce soit avec les exigences décrites à l</w:t>
      </w:r>
      <w:r w:rsidR="00812400" w:rsidRPr="00BE1EBA">
        <w:t>’</w:t>
      </w:r>
      <w:r w:rsidRPr="00BE1EBA">
        <w:t>annexe ci</w:t>
      </w:r>
      <w:r w:rsidR="003262E1" w:rsidRPr="00BE1EBA">
        <w:t>­</w:t>
      </w:r>
      <w:r w:rsidRPr="00BE1EBA">
        <w:t>haut mentionnée.</w:t>
      </w:r>
    </w:p>
    <w:p w:rsidR="008E305E" w:rsidRPr="00BE1EBA" w:rsidRDefault="008E305E" w:rsidP="00D76919">
      <w:pPr>
        <w:pStyle w:val="ListParagraph"/>
        <w:numPr>
          <w:ilvl w:val="0"/>
          <w:numId w:val="6"/>
        </w:numPr>
        <w:spacing w:before="100" w:beforeAutospacing="1" w:after="100" w:afterAutospacing="1"/>
        <w:ind w:left="567" w:hanging="567"/>
      </w:pPr>
      <w:r w:rsidRPr="00BE1EBA">
        <w:t>Le fournisseur doit cocher la case applicable suivante :</w:t>
      </w:r>
    </w:p>
    <w:p w:rsidR="00CD02A5" w:rsidRPr="00BE1EBA" w:rsidRDefault="00CD02A5" w:rsidP="00CD02A5">
      <w:pPr>
        <w:tabs>
          <w:tab w:val="left" w:pos="1134"/>
        </w:tabs>
        <w:ind w:left="1701" w:hanging="1134"/>
      </w:pPr>
      <w:r w:rsidRPr="00BE1EBA">
        <w:t>i.</w:t>
      </w:r>
      <w:r w:rsidRPr="00BE1EBA">
        <w:tab/>
        <w:t>(__)</w:t>
      </w:r>
      <w:r w:rsidRPr="00BE1EBA">
        <w:tab/>
        <w:t>Le fournisseur est une entreprise autochtone à propriétaire unique, une bande, une société à responsabilité limitée, une coopérative, une société de personnes ou un organisme sans but lucratif.</w:t>
      </w:r>
    </w:p>
    <w:p w:rsidR="00CD02A5" w:rsidRPr="00BE1EBA" w:rsidRDefault="00CD02A5" w:rsidP="00CD02A5">
      <w:pPr>
        <w:ind w:left="567"/>
      </w:pPr>
      <w:r w:rsidRPr="00BE1EBA">
        <w:lastRenderedPageBreak/>
        <w:t>OU</w:t>
      </w:r>
    </w:p>
    <w:p w:rsidR="00CD02A5" w:rsidRPr="00BE1EBA" w:rsidRDefault="00CD02A5" w:rsidP="00CD02A5">
      <w:pPr>
        <w:tabs>
          <w:tab w:val="left" w:pos="1134"/>
        </w:tabs>
        <w:ind w:left="1701" w:hanging="1134"/>
      </w:pPr>
      <w:r w:rsidRPr="00BE1EBA">
        <w:t>ii.</w:t>
      </w:r>
      <w:r w:rsidRPr="00BE1EBA">
        <w:tab/>
        <w:t>(__)</w:t>
      </w:r>
      <w:r w:rsidRPr="00BE1EBA">
        <w:tab/>
        <w:t>Le fournisseur est une coentreprise comprenant deux ou plus de deux entreprises autochtones ou une coentreprise entre une entreprise autochtone et une entreprise non autochtone.</w:t>
      </w:r>
    </w:p>
    <w:p w:rsidR="00F77304" w:rsidRPr="00BE1EBA" w:rsidRDefault="009A576A" w:rsidP="00D76919">
      <w:pPr>
        <w:pStyle w:val="ListParagraph"/>
        <w:numPr>
          <w:ilvl w:val="0"/>
          <w:numId w:val="6"/>
        </w:numPr>
        <w:ind w:left="567" w:hanging="567"/>
      </w:pPr>
      <w:r w:rsidRPr="00BE1EBA">
        <w:t xml:space="preserve">Le fournisseur doit cocher la case applicable suivante : </w:t>
      </w:r>
    </w:p>
    <w:p w:rsidR="00F77304" w:rsidRPr="00BE1EBA" w:rsidRDefault="00F77304" w:rsidP="00F77304">
      <w:pPr>
        <w:tabs>
          <w:tab w:val="left" w:pos="1134"/>
        </w:tabs>
        <w:ind w:left="1701" w:hanging="1134"/>
      </w:pPr>
      <w:r w:rsidRPr="00BE1EBA">
        <w:t>i.</w:t>
      </w:r>
      <w:r w:rsidRPr="00BE1EBA">
        <w:tab/>
        <w:t>(__)</w:t>
      </w:r>
      <w:r w:rsidRPr="00BE1EBA">
        <w:tab/>
        <w:t>L</w:t>
      </w:r>
      <w:r w:rsidR="00812400" w:rsidRPr="00BE1EBA">
        <w:t>’</w:t>
      </w:r>
      <w:r w:rsidRPr="00BE1EBA">
        <w:t>entreprise autochtone compte moins de six employés à temps plein.</w:t>
      </w:r>
    </w:p>
    <w:p w:rsidR="00F77304" w:rsidRPr="00BE1EBA" w:rsidRDefault="00F77304" w:rsidP="00F77304">
      <w:pPr>
        <w:ind w:left="1134" w:hanging="567"/>
      </w:pPr>
      <w:r w:rsidRPr="00BE1EBA">
        <w:t xml:space="preserve">OU </w:t>
      </w:r>
    </w:p>
    <w:p w:rsidR="00F77304" w:rsidRPr="00BE1EBA" w:rsidRDefault="00F77304" w:rsidP="00F77304">
      <w:pPr>
        <w:tabs>
          <w:tab w:val="left" w:pos="1134"/>
        </w:tabs>
        <w:ind w:left="1701" w:hanging="1134"/>
      </w:pPr>
      <w:r w:rsidRPr="00BE1EBA">
        <w:t>iii.</w:t>
      </w:r>
      <w:r w:rsidRPr="00BE1EBA">
        <w:tab/>
        <w:t>(__)</w:t>
      </w:r>
      <w:r w:rsidRPr="00BE1EBA">
        <w:tab/>
        <w:t>L</w:t>
      </w:r>
      <w:r w:rsidR="00812400" w:rsidRPr="00BE1EBA">
        <w:t>’</w:t>
      </w:r>
      <w:r w:rsidRPr="00BE1EBA">
        <w:t>entreprise autochtone compte six employés ou plus à temps plein.</w:t>
      </w:r>
    </w:p>
    <w:p w:rsidR="00F77304" w:rsidRPr="00BE1EBA" w:rsidRDefault="00F77304" w:rsidP="00F77304">
      <w:pPr>
        <w:pStyle w:val="ListParagraph"/>
        <w:ind w:left="567"/>
      </w:pPr>
    </w:p>
    <w:p w:rsidR="009A576A" w:rsidRPr="00BE1EBA" w:rsidRDefault="009A576A" w:rsidP="00D76919">
      <w:pPr>
        <w:pStyle w:val="ListParagraph"/>
        <w:numPr>
          <w:ilvl w:val="0"/>
          <w:numId w:val="6"/>
        </w:numPr>
        <w:ind w:left="567" w:hanging="567"/>
      </w:pPr>
      <w:r w:rsidRPr="00BE1EBA">
        <w:t>À la demande du Canada, le fournisseur doit présenter tout renseignement et toute preuve justifiant la présente attestation. Le fournisseur doit s</w:t>
      </w:r>
      <w:r w:rsidR="00812400" w:rsidRPr="00BE1EBA">
        <w:t>’</w:t>
      </w:r>
      <w:r w:rsidRPr="00BE1EBA">
        <w:t>assurer que cette preuve soit disponible pour examen par un représentant du Canada durant les heures normales de travail, lequel représentant du Canada pourra tirer des copies ou des extraits de cette preuve. Le fournisseur fournira toutes les installations nécessaires à ces vérifications.</w:t>
      </w:r>
    </w:p>
    <w:p w:rsidR="00F77304" w:rsidRPr="00BE1EBA" w:rsidRDefault="00F77304" w:rsidP="00F77304">
      <w:pPr>
        <w:pStyle w:val="ListParagraph"/>
        <w:ind w:left="567"/>
      </w:pPr>
    </w:p>
    <w:p w:rsidR="00FF4ECA" w:rsidRPr="00BE1EBA" w:rsidRDefault="009A576A" w:rsidP="00D76919">
      <w:pPr>
        <w:pStyle w:val="ListParagraph"/>
        <w:numPr>
          <w:ilvl w:val="0"/>
          <w:numId w:val="6"/>
        </w:numPr>
        <w:ind w:left="567" w:hanging="567"/>
      </w:pPr>
      <w:r w:rsidRPr="00BE1EBA">
        <w:t>En déposant un arrangement, le fournisseur atteste que l</w:t>
      </w:r>
      <w:r w:rsidR="00812400" w:rsidRPr="00BE1EBA">
        <w:t>’</w:t>
      </w:r>
      <w:r w:rsidRPr="00BE1EBA">
        <w:t>information fournie par le fournisseur pour répondre aux exigences plus haut est exacte et complète.</w:t>
      </w:r>
    </w:p>
    <w:p w:rsidR="00CC3B30" w:rsidRPr="00BE1EBA" w:rsidRDefault="00CC3B30" w:rsidP="005F083B">
      <w:pPr>
        <w:pStyle w:val="ModlesEn-tte3"/>
      </w:pPr>
      <w:bookmarkStart w:id="28" w:name="_Toc412634765"/>
      <w:r w:rsidRPr="00BE1EBA">
        <w:t>5.1.2.2</w:t>
      </w:r>
      <w:r w:rsidRPr="00BE1EBA">
        <w:tab/>
        <w:t>Définition du contenu canadien – Pour les fournisseur SAEA seulement</w:t>
      </w:r>
      <w:bookmarkEnd w:id="28"/>
      <w:r w:rsidRPr="00BE1EBA">
        <w:t> </w:t>
      </w:r>
    </w:p>
    <w:p w:rsidR="00CC3B30" w:rsidRPr="00BE1EBA" w:rsidRDefault="00CC3B30" w:rsidP="00D76919">
      <w:pPr>
        <w:pStyle w:val="ListParagraph"/>
        <w:numPr>
          <w:ilvl w:val="0"/>
          <w:numId w:val="7"/>
        </w:numPr>
        <w:ind w:left="567" w:hanging="567"/>
      </w:pPr>
      <w:r w:rsidRPr="00BE1EBA">
        <w:t>Clauses du Guide des (CCUA) A3050T (2014</w:t>
      </w:r>
      <w:r w:rsidR="003262E1" w:rsidRPr="00BE1EBA">
        <w:t>­</w:t>
      </w:r>
      <w:r w:rsidRPr="00BE1EBA">
        <w:t>11</w:t>
      </w:r>
      <w:r w:rsidR="003262E1" w:rsidRPr="00BE1EBA">
        <w:t>­</w:t>
      </w:r>
      <w:r w:rsidRPr="00BE1EBA">
        <w:t>27)</w:t>
      </w:r>
      <w:r w:rsidR="002A6210" w:rsidRPr="00BE1EBA">
        <w:t xml:space="preserve"> – </w:t>
      </w:r>
      <w:r w:rsidRPr="00BE1EBA">
        <w:t>Définition du contenu canadien</w:t>
      </w:r>
    </w:p>
    <w:p w:rsidR="005919A2" w:rsidRPr="00BE1EBA" w:rsidRDefault="005919A2" w:rsidP="005919A2">
      <w:pPr>
        <w:pStyle w:val="Style1"/>
      </w:pPr>
      <w:r w:rsidRPr="00BE1EBA">
        <w:t>2.</w:t>
      </w:r>
      <w:r w:rsidRPr="00BE1EBA">
        <w:tab/>
        <w:t>Les demandes de soumissions réservées dans le cadre de la SAEA pendant la période de l</w:t>
      </w:r>
      <w:r w:rsidR="00812400" w:rsidRPr="00BE1EBA">
        <w:t>’</w:t>
      </w:r>
      <w:r w:rsidRPr="00BE1EBA">
        <w:t>AMA subséquent peuvent se limiter conditionnellement aux produits canadiens, mais uniquement pour les demandes de soumissions des paliers 2 et 3 pour lesquels la Direction générale des approvisionnements/Programme (DGA/P) de TPSGC est l</w:t>
      </w:r>
      <w:r w:rsidR="00812400" w:rsidRPr="00BE1EBA">
        <w:t>’</w:t>
      </w:r>
      <w:r w:rsidRPr="00BE1EBA">
        <w:t>autorité contractante. (se reporter à la partie 6B pour connaître la définition des paliers)</w:t>
      </w:r>
    </w:p>
    <w:p w:rsidR="005919A2" w:rsidRPr="00BE1EBA" w:rsidRDefault="005919A2" w:rsidP="005919A2">
      <w:pPr>
        <w:pStyle w:val="Style1"/>
      </w:pPr>
      <w:r w:rsidRPr="00BE1EBA">
        <w:t>3.</w:t>
      </w:r>
      <w:r w:rsidRPr="00BE1EBA">
        <w:tab/>
        <w:t>Les fournisseurs visés par la SAEA qui souhaitent répondre aux invitations à soumissionner décrites au point 2 ci</w:t>
      </w:r>
      <w:r w:rsidR="003262E1" w:rsidRPr="00BE1EBA">
        <w:t>­</w:t>
      </w:r>
      <w:r w:rsidRPr="00BE1EBA">
        <w:t>dessus doivent offrir, dans l</w:t>
      </w:r>
      <w:r w:rsidR="00812400" w:rsidRPr="00BE1EBA">
        <w:t>’</w:t>
      </w:r>
      <w:r w:rsidRPr="00BE1EBA">
        <w:t>arrangement présenté à la suite de cette DAMA, des produits conformes à la définition de contenu canadien. Ils doivent aussi présenter l</w:t>
      </w:r>
      <w:r w:rsidR="00812400" w:rsidRPr="00BE1EBA">
        <w:t>’</w:t>
      </w:r>
      <w:r w:rsidRPr="00BE1EBA">
        <w:t>attestation du contenu canadien ci</w:t>
      </w:r>
      <w:r w:rsidR="003262E1" w:rsidRPr="00BE1EBA">
        <w:t>­</w:t>
      </w:r>
      <w:r w:rsidRPr="00BE1EBA">
        <w:t>dessous avec leur arrangement</w:t>
      </w:r>
      <w:r w:rsidR="00EF7715" w:rsidRPr="00BE1EBA">
        <w:t xml:space="preserve">. </w:t>
      </w:r>
      <w:r w:rsidRPr="00BE1EBA">
        <w:t xml:space="preserve">Le fournisseur doit valider son attestation du contenu canadien si le Canada en fait la demande, ce qui peut se produire à tout moment. </w:t>
      </w:r>
    </w:p>
    <w:p w:rsidR="005919A2" w:rsidRPr="00BE1EBA" w:rsidRDefault="005919A2" w:rsidP="005919A2">
      <w:pPr>
        <w:pStyle w:val="Style1"/>
      </w:pPr>
      <w:r w:rsidRPr="00BE1EBA">
        <w:t>4</w:t>
      </w:r>
      <w:r w:rsidR="00551DBC" w:rsidRPr="00BE1EBA">
        <w:t xml:space="preserve">. </w:t>
      </w:r>
      <w:r w:rsidRPr="00BE1EBA">
        <w:t xml:space="preserve">     Pour chaque produit qu</w:t>
      </w:r>
      <w:r w:rsidR="00812400" w:rsidRPr="00BE1EBA">
        <w:t>’</w:t>
      </w:r>
      <w:r w:rsidRPr="00BE1EBA">
        <w:t>il déclare conforme à la définition du contenu canadien, le fournisseur doit remplir l</w:t>
      </w:r>
      <w:r w:rsidR="00812400" w:rsidRPr="00BE1EBA">
        <w:t>’</w:t>
      </w:r>
      <w:r w:rsidRPr="00BE1EBA">
        <w:t>attestation ci</w:t>
      </w:r>
      <w:r w:rsidR="003262E1" w:rsidRPr="00BE1EBA">
        <w:t>­</w:t>
      </w:r>
      <w:r w:rsidRPr="00BE1EBA">
        <w:t>dessous et la présenter avec son arrangement. Les modèles de produits proposés dans l</w:t>
      </w:r>
      <w:r w:rsidR="00812400" w:rsidRPr="00BE1EBA">
        <w:t>’</w:t>
      </w:r>
      <w:r w:rsidRPr="00BE1EBA">
        <w:t>arrangement, qui ne seront pas conformes à l</w:t>
      </w:r>
      <w:r w:rsidR="00812400" w:rsidRPr="00BE1EBA">
        <w:t>’</w:t>
      </w:r>
      <w:r w:rsidRPr="00BE1EBA">
        <w:t>attestation ci</w:t>
      </w:r>
      <w:r w:rsidR="003262E1" w:rsidRPr="00BE1EBA">
        <w:t>­</w:t>
      </w:r>
      <w:r w:rsidRPr="00BE1EBA">
        <w:t>dessous, seront déclarés non conformes à la définition du contenu canadien, et le fournisseur ne pourra les présenter comme des modèles respectant cette définition en réponse aux invitations à soumissionner pendant la période de l</w:t>
      </w:r>
      <w:r w:rsidR="00812400" w:rsidRPr="00BE1EBA">
        <w:t>’</w:t>
      </w:r>
      <w:r w:rsidRPr="00BE1EBA">
        <w:t xml:space="preserve">AMA. </w:t>
      </w:r>
    </w:p>
    <w:p w:rsidR="005919A2" w:rsidRPr="00BE1EBA" w:rsidRDefault="005919A2" w:rsidP="005919A2">
      <w:pPr>
        <w:pStyle w:val="NormalWeb"/>
      </w:pPr>
      <w:r w:rsidRPr="00BE1EBA">
        <w:t xml:space="preserve">Le fournisseur atteste que : </w:t>
      </w:r>
    </w:p>
    <w:p w:rsidR="005919A2" w:rsidRPr="00BE1EBA" w:rsidRDefault="005919A2" w:rsidP="005919A2">
      <w:pPr>
        <w:pStyle w:val="NormalWeb"/>
        <w:tabs>
          <w:tab w:val="clear" w:pos="0"/>
          <w:tab w:val="left" w:pos="567"/>
        </w:tabs>
        <w:ind w:left="1134" w:hanging="1134"/>
      </w:pPr>
      <w:r w:rsidRPr="00BE1EBA">
        <w:tab/>
        <w:t>(___)</w:t>
      </w:r>
      <w:r w:rsidRPr="00BE1EBA">
        <w:tab/>
        <w:t xml:space="preserve">les biens déclarés conformes à la définition du contenu canadien dans le catalogue des produits et services destinés aux </w:t>
      </w:r>
      <w:r w:rsidR="00A77994" w:rsidRPr="00BE1EBA">
        <w:t>postes de travail</w:t>
      </w:r>
      <w:r w:rsidRPr="00BE1EBA">
        <w:t xml:space="preserve"> à l</w:t>
      </w:r>
      <w:r w:rsidR="00812400" w:rsidRPr="00BE1EBA">
        <w:t>’</w:t>
      </w:r>
      <w:r w:rsidRPr="00BE1EBA">
        <w:t>Annexe B sont des produits canadiens au sens du paragraphe 1 de la clause A3050T et continueront d</w:t>
      </w:r>
      <w:r w:rsidR="00812400" w:rsidRPr="00BE1EBA">
        <w:t>’</w:t>
      </w:r>
      <w:r w:rsidRPr="00BE1EBA">
        <w:t>être considérés comme des produits canadiens au sens du paragraphe 1 de la clause A3050T pendant toute la durée de l</w:t>
      </w:r>
      <w:r w:rsidR="00812400" w:rsidRPr="00BE1EBA">
        <w:t>’</w:t>
      </w:r>
      <w:r w:rsidRPr="00BE1EBA">
        <w:t xml:space="preserve">AMA. </w:t>
      </w:r>
    </w:p>
    <w:p w:rsidR="005919A2" w:rsidRPr="00BE1EBA" w:rsidRDefault="005919A2" w:rsidP="005F083B">
      <w:pPr>
        <w:pStyle w:val="ModlesEn-tte3"/>
      </w:pPr>
      <w:bookmarkStart w:id="29" w:name="_Toc412634766"/>
      <w:r w:rsidRPr="00BE1EBA">
        <w:lastRenderedPageBreak/>
        <w:t>5.1.3</w:t>
      </w:r>
      <w:r w:rsidRPr="00BE1EBA">
        <w:tab/>
        <w:t>Conformité des produits</w:t>
      </w:r>
      <w:bookmarkEnd w:id="29"/>
    </w:p>
    <w:p w:rsidR="005919A2" w:rsidRPr="00BE1EBA" w:rsidRDefault="005919A2" w:rsidP="005919A2">
      <w:r w:rsidRPr="00BE1EBA">
        <w:t>Le fournisseur atteste que tous les produits offerts sont conformes à l</w:t>
      </w:r>
      <w:r w:rsidR="00812400" w:rsidRPr="00BE1EBA">
        <w:t>’</w:t>
      </w:r>
      <w:r w:rsidRPr="00BE1EBA">
        <w:t>ensemble des spécifications et qu</w:t>
      </w:r>
      <w:r w:rsidR="00812400" w:rsidRPr="00BE1EBA">
        <w:t>’</w:t>
      </w:r>
      <w:r w:rsidRPr="00BE1EBA">
        <w:t>ils continueront de l</w:t>
      </w:r>
      <w:r w:rsidR="00812400" w:rsidRPr="00BE1EBA">
        <w:t>’</w:t>
      </w:r>
      <w:r w:rsidRPr="00BE1EBA">
        <w:t>être pendant toute la durée de l</w:t>
      </w:r>
      <w:r w:rsidR="00812400" w:rsidRPr="00BE1EBA">
        <w:t>’</w:t>
      </w:r>
      <w:r w:rsidRPr="00BE1EBA">
        <w:t>AMA. Il atteste aussi que les produits répondent aux critères d</w:t>
      </w:r>
      <w:r w:rsidR="00812400" w:rsidRPr="00BE1EBA">
        <w:t>’</w:t>
      </w:r>
      <w:r w:rsidRPr="00BE1EBA">
        <w:t>essai énoncés à l</w:t>
      </w:r>
      <w:r w:rsidR="00812400" w:rsidRPr="00BE1EBA">
        <w:t>’</w:t>
      </w:r>
      <w:r w:rsidRPr="00BE1EBA">
        <w:t>Annexe A, soit dans l</w:t>
      </w:r>
      <w:r w:rsidR="00812400" w:rsidRPr="00BE1EBA">
        <w:t>’</w:t>
      </w:r>
      <w:r w:rsidRPr="00BE1EBA">
        <w:t xml:space="preserve">énoncé du besoin. </w:t>
      </w:r>
    </w:p>
    <w:p w:rsidR="005919A2" w:rsidRPr="00BE1EBA" w:rsidRDefault="005919A2" w:rsidP="005919A2">
      <w:pPr>
        <w:spacing w:after="0"/>
      </w:pPr>
      <w:r w:rsidRPr="00BE1EBA">
        <w:t>_____________________________                     _________________________</w:t>
      </w:r>
    </w:p>
    <w:p w:rsidR="005919A2" w:rsidRPr="00BE1EBA" w:rsidRDefault="005919A2" w:rsidP="005919A2">
      <w:pPr>
        <w:spacing w:after="0"/>
      </w:pPr>
      <w:r w:rsidRPr="00BE1EBA">
        <w:t xml:space="preserve">Signature du fournisseur              </w:t>
      </w:r>
      <w:r w:rsidR="00AB4AA0" w:rsidRPr="00BE1EBA">
        <w:t xml:space="preserve">                         </w:t>
      </w:r>
      <w:r w:rsidRPr="00BE1EBA">
        <w:t xml:space="preserve"> Date</w:t>
      </w:r>
    </w:p>
    <w:p w:rsidR="005919A2" w:rsidRPr="00BE1EBA" w:rsidRDefault="005919A2" w:rsidP="005919A2"/>
    <w:p w:rsidR="005919A2" w:rsidRPr="00BE1EBA" w:rsidRDefault="005919A2" w:rsidP="005F083B">
      <w:pPr>
        <w:pStyle w:val="ModlesEn-tte3"/>
      </w:pPr>
      <w:bookmarkStart w:id="30" w:name="_Toc412634767"/>
      <w:r w:rsidRPr="00BE1EBA">
        <w:t>5.1.4</w:t>
      </w:r>
      <w:r w:rsidRPr="00BE1EBA">
        <w:tab/>
        <w:t>Attestation des prix</w:t>
      </w:r>
      <w:bookmarkEnd w:id="30"/>
    </w:p>
    <w:p w:rsidR="005919A2" w:rsidRPr="00BE1EBA" w:rsidRDefault="005919A2" w:rsidP="005919A2">
      <w:pPr>
        <w:pStyle w:val="NormalWeb"/>
      </w:pPr>
      <w:r w:rsidRPr="00BE1EBA">
        <w:t>Le fournisseur atteste que, lorsque sa soumission est la seule soumission d</w:t>
      </w:r>
      <w:r w:rsidR="00812400" w:rsidRPr="00BE1EBA">
        <w:t>’</w:t>
      </w:r>
      <w:r w:rsidRPr="00BE1EBA">
        <w:t>une valeur de 50 000 $ ou plus jugée conforme, le prix proposé :</w:t>
      </w:r>
    </w:p>
    <w:p w:rsidR="005919A2" w:rsidRPr="00BE1EBA" w:rsidRDefault="005919A2" w:rsidP="005919A2">
      <w:r w:rsidRPr="00BE1EBA">
        <w:t>n</w:t>
      </w:r>
      <w:r w:rsidR="00812400" w:rsidRPr="00BE1EBA">
        <w:t>’</w:t>
      </w:r>
      <w:r w:rsidRPr="00BE1EBA">
        <w:t>est pas supérieur au plus bas prix demandé à toute personne, y compris à son meilleur client, pour des biens, des services ou les deux de qualité et de quantité semblables;</w:t>
      </w:r>
    </w:p>
    <w:p w:rsidR="005919A2" w:rsidRPr="00BE1EBA" w:rsidRDefault="005919A2" w:rsidP="005919A2">
      <w:r w:rsidRPr="00BE1EBA">
        <w:t>ne génère pas un profit supérieur à celui qu</w:t>
      </w:r>
      <w:r w:rsidR="00812400" w:rsidRPr="00BE1EBA">
        <w:t>’</w:t>
      </w:r>
      <w:r w:rsidRPr="00BE1EBA">
        <w:t>il tire normalement de la vente de biens, de services ou les deux de qualité et de quantité semblables.</w:t>
      </w:r>
    </w:p>
    <w:p w:rsidR="005919A2" w:rsidRPr="00BE1EBA" w:rsidRDefault="005919A2" w:rsidP="005919A2"/>
    <w:p w:rsidR="005919A2" w:rsidRPr="00BE1EBA" w:rsidRDefault="005919A2" w:rsidP="005919A2">
      <w:pPr>
        <w:pStyle w:val="DefaultText"/>
        <w:spacing w:after="0"/>
      </w:pPr>
      <w:r w:rsidRPr="00BE1EBA">
        <w:t>______________________________</w:t>
      </w:r>
      <w:r w:rsidRPr="00BE1EBA">
        <w:tab/>
      </w:r>
      <w:r w:rsidRPr="00BE1EBA">
        <w:tab/>
        <w:t>___________________________</w:t>
      </w:r>
    </w:p>
    <w:p w:rsidR="005919A2" w:rsidRPr="00BE1EBA" w:rsidRDefault="005919A2" w:rsidP="005919A2">
      <w:pPr>
        <w:pStyle w:val="DefaultText"/>
        <w:spacing w:after="0"/>
      </w:pPr>
      <w:r w:rsidRPr="00BE1EBA">
        <w:t>Supplier</w:t>
      </w:r>
      <w:r w:rsidR="00812400" w:rsidRPr="00BE1EBA">
        <w:t>’</w:t>
      </w:r>
      <w:r w:rsidRPr="00BE1EBA">
        <w:t>s signature                                                  Date</w:t>
      </w:r>
    </w:p>
    <w:p w:rsidR="005919A2" w:rsidRPr="00BE1EBA" w:rsidRDefault="005919A2" w:rsidP="00232778">
      <w:pPr>
        <w:pStyle w:val="ModlesEn-tte2"/>
      </w:pPr>
      <w:bookmarkStart w:id="31" w:name="_Toc413070273"/>
      <w:r w:rsidRPr="00BE1EBA">
        <w:t>5.2</w:t>
      </w:r>
      <w:r w:rsidRPr="00BE1EBA">
        <w:tab/>
        <w:t>Renseignements supplémentaires requis préalablement à la publication d</w:t>
      </w:r>
      <w:r w:rsidR="00812400" w:rsidRPr="00BE1EBA">
        <w:t>’</w:t>
      </w:r>
      <w:r w:rsidRPr="00BE1EBA">
        <w:t>un AMA</w:t>
      </w:r>
      <w:bookmarkEnd w:id="31"/>
    </w:p>
    <w:p w:rsidR="005919A2" w:rsidRPr="00BE1EBA" w:rsidRDefault="005919A2" w:rsidP="005919A2">
      <w:r w:rsidRPr="00BE1EBA">
        <w:rPr>
          <w:b/>
        </w:rPr>
        <w:t>Le fournisseur doit fournir les renseignements demandés ci</w:t>
      </w:r>
      <w:r w:rsidR="003262E1" w:rsidRPr="00BE1EBA">
        <w:rPr>
          <w:b/>
        </w:rPr>
        <w:t>­</w:t>
      </w:r>
      <w:r w:rsidRPr="00BE1EBA">
        <w:rPr>
          <w:b/>
        </w:rPr>
        <w:t xml:space="preserve">dessous et les présenter </w:t>
      </w:r>
      <w:r w:rsidRPr="00BE1EBA">
        <w:t>avec l</w:t>
      </w:r>
      <w:r w:rsidR="00812400" w:rsidRPr="00BE1EBA">
        <w:t>’</w:t>
      </w:r>
      <w:r w:rsidRPr="00BE1EBA">
        <w:t>arrangement, mais il peut également les soumettre par la suite. Si l</w:t>
      </w:r>
      <w:r w:rsidR="00812400" w:rsidRPr="00BE1EBA">
        <w:t>’</w:t>
      </w:r>
      <w:r w:rsidR="00242F93" w:rsidRPr="00BE1EBA">
        <w:t>un des</w:t>
      </w:r>
      <w:r w:rsidRPr="00BE1EBA">
        <w:t>dits renseignements requis n</w:t>
      </w:r>
      <w:r w:rsidR="00812400" w:rsidRPr="00BE1EBA">
        <w:t>’</w:t>
      </w:r>
      <w:r w:rsidRPr="00BE1EBA">
        <w:t>est pas fourni ou présenté comme il est demandé, le responsable de l</w:t>
      </w:r>
      <w:r w:rsidR="00812400" w:rsidRPr="00BE1EBA">
        <w:t>’</w:t>
      </w:r>
      <w:r w:rsidRPr="00BE1EBA">
        <w:t>AMA en informera le fournisseur et lui accordera un délai pour qu</w:t>
      </w:r>
      <w:r w:rsidR="00812400" w:rsidRPr="00BE1EBA">
        <w:t>’</w:t>
      </w:r>
      <w:r w:rsidRPr="00BE1EBA">
        <w:t>il fournisse les renseignements. Si le fournisseur ne répond pas à la demande du responsable de l</w:t>
      </w:r>
      <w:r w:rsidR="00812400" w:rsidRPr="00BE1EBA">
        <w:t>’</w:t>
      </w:r>
      <w:r w:rsidRPr="00BE1EBA">
        <w:t>AMA et ne fournit pas les renseignements supplémentaires dans les délais prévus, l</w:t>
      </w:r>
      <w:r w:rsidR="00812400" w:rsidRPr="00BE1EBA">
        <w:t>’</w:t>
      </w:r>
      <w:r w:rsidRPr="00BE1EBA">
        <w:t>arrangement sera déclaré non recevable.</w:t>
      </w:r>
    </w:p>
    <w:p w:rsidR="005919A2" w:rsidRPr="00BE1EBA" w:rsidRDefault="005919A2" w:rsidP="005F083B">
      <w:pPr>
        <w:pStyle w:val="ModlesEn-tte3"/>
      </w:pPr>
      <w:bookmarkStart w:id="32" w:name="_Toc412634769"/>
      <w:r w:rsidRPr="00BE1EBA">
        <w:t xml:space="preserve">5.2.1 </w:t>
      </w:r>
      <w:r w:rsidRPr="00BE1EBA">
        <w:tab/>
        <w:t>Coordonnées du fournisseur</w:t>
      </w:r>
      <w:bookmarkEnd w:id="32"/>
    </w:p>
    <w:tbl>
      <w:tblPr>
        <w:tblW w:w="9781" w:type="dxa"/>
        <w:tblInd w:w="108" w:type="dxa"/>
        <w:tblBorders>
          <w:top w:val="single" w:sz="6" w:space="0" w:color="000000"/>
          <w:left w:val="double" w:sz="8" w:space="0" w:color="000000"/>
          <w:bottom w:val="single" w:sz="6" w:space="0" w:color="000000"/>
          <w:right w:val="single" w:sz="6" w:space="0" w:color="000000"/>
          <w:insideH w:val="single" w:sz="6" w:space="0" w:color="000000"/>
          <w:insideV w:val="double" w:sz="8" w:space="0" w:color="000000"/>
        </w:tblBorders>
        <w:tblLayout w:type="fixed"/>
        <w:tblLook w:val="0000"/>
      </w:tblPr>
      <w:tblGrid>
        <w:gridCol w:w="384"/>
        <w:gridCol w:w="1884"/>
        <w:gridCol w:w="7513"/>
      </w:tblGrid>
      <w:tr w:rsidR="005919A2" w:rsidRPr="00BE1EBA" w:rsidTr="005919A2">
        <w:trPr>
          <w:cantSplit/>
          <w:trHeight w:val="288"/>
        </w:trPr>
        <w:tc>
          <w:tcPr>
            <w:tcW w:w="384" w:type="dxa"/>
            <w:tcBorders>
              <w:top w:val="double" w:sz="8" w:space="0" w:color="000000"/>
              <w:left w:val="double" w:sz="8" w:space="0" w:color="000000"/>
              <w:bottom w:val="single" w:sz="8" w:space="0" w:color="000000"/>
              <w:right w:val="double" w:sz="8" w:space="0" w:color="000000"/>
            </w:tcBorders>
            <w:shd w:val="clear" w:color="000000" w:fill="FFFFFF"/>
          </w:tcPr>
          <w:p w:rsidR="005919A2" w:rsidRPr="00BE1EBA" w:rsidRDefault="005919A2" w:rsidP="005919A2">
            <w:pPr>
              <w:pStyle w:val="DefaultText21"/>
            </w:pPr>
            <w:r w:rsidRPr="00BE1EBA">
              <w:t>A</w:t>
            </w:r>
          </w:p>
          <w:p w:rsidR="005919A2" w:rsidRPr="00BE1EBA" w:rsidRDefault="005919A2" w:rsidP="005919A2">
            <w:pPr>
              <w:pStyle w:val="DefaultText21"/>
            </w:pPr>
          </w:p>
          <w:p w:rsidR="005919A2" w:rsidRPr="00BE1EBA" w:rsidRDefault="005919A2" w:rsidP="005919A2"/>
          <w:p w:rsidR="005919A2" w:rsidRPr="00BE1EBA" w:rsidRDefault="005919A2" w:rsidP="005919A2"/>
        </w:tc>
        <w:tc>
          <w:tcPr>
            <w:tcW w:w="9397" w:type="dxa"/>
            <w:gridSpan w:val="2"/>
            <w:tcBorders>
              <w:top w:val="single" w:sz="6" w:space="0" w:color="000000"/>
              <w:left w:val="double" w:sz="8" w:space="0" w:color="000000"/>
              <w:bottom w:val="single" w:sz="6" w:space="0" w:color="000000"/>
              <w:right w:val="single" w:sz="6" w:space="0" w:color="000000"/>
            </w:tcBorders>
            <w:shd w:val="clear" w:color="000000" w:fill="FFFFFF"/>
          </w:tcPr>
          <w:p w:rsidR="005919A2" w:rsidRPr="00BE1EBA" w:rsidRDefault="005919A2" w:rsidP="005919A2">
            <w:pPr>
              <w:pStyle w:val="DefaultText21"/>
            </w:pPr>
            <w:r w:rsidRPr="00BE1EBA">
              <w:rPr>
                <w:b/>
              </w:rPr>
              <w:t>Pour des renseignements généraux</w:t>
            </w:r>
            <w:r w:rsidRPr="00BE1EBA">
              <w:t xml:space="preserve"> concernant l</w:t>
            </w:r>
            <w:r w:rsidR="00812400" w:rsidRPr="00BE1EBA">
              <w:t>’</w:t>
            </w:r>
            <w:r w:rsidRPr="00BE1EBA">
              <w:t>AMA, la façon de communiquer avec les distributeurs agréés (le cas échéant), etc.</w:t>
            </w:r>
          </w:p>
        </w:tc>
      </w:tr>
      <w:tr w:rsidR="005919A2" w:rsidRPr="00BE1EBA" w:rsidTr="005919A2">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5919A2" w:rsidRPr="00BE1EBA" w:rsidRDefault="005919A2" w:rsidP="005919A2">
            <w:pPr>
              <w:pStyle w:val="DefaultText"/>
            </w:pPr>
          </w:p>
        </w:tc>
        <w:tc>
          <w:tcPr>
            <w:tcW w:w="9397" w:type="dxa"/>
            <w:gridSpan w:val="2"/>
            <w:tcBorders>
              <w:top w:val="single" w:sz="6" w:space="0" w:color="000000"/>
              <w:left w:val="double" w:sz="8" w:space="0" w:color="000000"/>
              <w:bottom w:val="single" w:sz="6" w:space="0" w:color="000000"/>
              <w:right w:val="single" w:sz="6" w:space="0" w:color="000000"/>
            </w:tcBorders>
            <w:shd w:val="clear" w:color="000000" w:fill="FFFFFF"/>
          </w:tcPr>
          <w:p w:rsidR="005919A2" w:rsidRPr="00BE1EBA" w:rsidRDefault="00207B23" w:rsidP="005919A2">
            <w:pPr>
              <w:pStyle w:val="DefaultText21"/>
            </w:pPr>
            <w:r w:rsidRPr="00BE1EBA">
              <w:t>Nom :</w:t>
            </w:r>
          </w:p>
        </w:tc>
      </w:tr>
      <w:tr w:rsidR="00207B23" w:rsidRPr="00BE1EBA" w:rsidTr="00207B23">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07B23" w:rsidRPr="00BE1EBA" w:rsidRDefault="00207B23" w:rsidP="005919A2">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07B23" w:rsidRPr="00BE1EBA" w:rsidRDefault="00207B23" w:rsidP="00FE4575">
            <w:pPr>
              <w:pStyle w:val="DefaultText21"/>
            </w:pPr>
            <w:r w:rsidRPr="00BE1EBA">
              <w:t>N</w:t>
            </w:r>
            <w:r w:rsidRPr="00BE1EBA">
              <w:rPr>
                <w:vertAlign w:val="superscript"/>
              </w:rPr>
              <w:t>o</w:t>
            </w:r>
            <w:r w:rsidRPr="00BE1EBA">
              <w:t xml:space="preserve"> de Téléphone :</w:t>
            </w:r>
          </w:p>
        </w:tc>
        <w:tc>
          <w:tcPr>
            <w:tcW w:w="7513" w:type="dxa"/>
            <w:tcBorders>
              <w:top w:val="single" w:sz="6" w:space="0" w:color="000000"/>
              <w:left w:val="single" w:sz="6" w:space="0" w:color="000000"/>
              <w:bottom w:val="single" w:sz="6" w:space="0" w:color="000000"/>
              <w:right w:val="single" w:sz="6" w:space="0" w:color="000000"/>
            </w:tcBorders>
            <w:shd w:val="clear" w:color="000000" w:fill="FFFFFF"/>
          </w:tcPr>
          <w:p w:rsidR="00207B23" w:rsidRPr="00BE1EBA" w:rsidRDefault="00207B23" w:rsidP="005919A2">
            <w:pPr>
              <w:pStyle w:val="DefaultText"/>
            </w:pPr>
          </w:p>
        </w:tc>
      </w:tr>
      <w:tr w:rsidR="00207B23" w:rsidRPr="00BE1EBA" w:rsidTr="00207B23">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07B23" w:rsidRPr="00BE1EBA" w:rsidRDefault="00207B23" w:rsidP="005919A2">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07B23" w:rsidRPr="00BE1EBA" w:rsidRDefault="00207B23" w:rsidP="00FE4575">
            <w:pPr>
              <w:pStyle w:val="DefaultText21"/>
            </w:pPr>
            <w:r w:rsidRPr="00BE1EBA">
              <w:t>Courriel :</w:t>
            </w:r>
          </w:p>
        </w:tc>
        <w:tc>
          <w:tcPr>
            <w:tcW w:w="7513" w:type="dxa"/>
            <w:tcBorders>
              <w:top w:val="single" w:sz="6" w:space="0" w:color="000000"/>
              <w:left w:val="single" w:sz="6" w:space="0" w:color="000000"/>
              <w:bottom w:val="single" w:sz="6" w:space="0" w:color="000000"/>
              <w:right w:val="single" w:sz="6" w:space="0" w:color="000000"/>
            </w:tcBorders>
            <w:shd w:val="clear" w:color="000000" w:fill="FFFFFF"/>
          </w:tcPr>
          <w:p w:rsidR="00207B23" w:rsidRPr="00BE1EBA" w:rsidRDefault="00207B23" w:rsidP="005919A2">
            <w:pPr>
              <w:pStyle w:val="DefaultText"/>
            </w:pPr>
          </w:p>
        </w:tc>
      </w:tr>
      <w:tr w:rsidR="005919A2" w:rsidRPr="00BE1EBA" w:rsidTr="005919A2">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5919A2" w:rsidRPr="00BE1EBA" w:rsidRDefault="005919A2" w:rsidP="005919A2">
            <w:pPr>
              <w:pStyle w:val="DefaultText1"/>
            </w:pPr>
            <w:r w:rsidRPr="00BE1EBA">
              <w:t>B</w:t>
            </w:r>
          </w:p>
          <w:p w:rsidR="005919A2" w:rsidRPr="00BE1EBA" w:rsidRDefault="005919A2" w:rsidP="005919A2">
            <w:pPr>
              <w:pStyle w:val="DefaultText1"/>
            </w:pPr>
          </w:p>
        </w:tc>
        <w:tc>
          <w:tcPr>
            <w:tcW w:w="9397" w:type="dxa"/>
            <w:gridSpan w:val="2"/>
            <w:tcBorders>
              <w:top w:val="single" w:sz="6" w:space="0" w:color="000000"/>
              <w:left w:val="double" w:sz="8" w:space="0" w:color="000000"/>
              <w:bottom w:val="single" w:sz="6" w:space="0" w:color="000000"/>
              <w:right w:val="single" w:sz="6" w:space="0" w:color="000000"/>
            </w:tcBorders>
            <w:shd w:val="clear" w:color="000000" w:fill="FFFFFF"/>
          </w:tcPr>
          <w:p w:rsidR="005919A2" w:rsidRPr="00BE1EBA" w:rsidRDefault="005919A2" w:rsidP="005919A2">
            <w:pPr>
              <w:pStyle w:val="DefaultText1"/>
            </w:pPr>
            <w:r w:rsidRPr="00BE1EBA">
              <w:rPr>
                <w:b/>
              </w:rPr>
              <w:t>Pour recevoir les demandes de soumissions en lien</w:t>
            </w:r>
            <w:r w:rsidRPr="00BE1EBA">
              <w:t xml:space="preserve"> avec l</w:t>
            </w:r>
            <w:r w:rsidR="00812400" w:rsidRPr="00BE1EBA">
              <w:t>’</w:t>
            </w:r>
            <w:r w:rsidRPr="00BE1EBA">
              <w:t>AMA subséquent (le Canada ne communiquera qu</w:t>
            </w:r>
            <w:r w:rsidR="00812400" w:rsidRPr="00BE1EBA">
              <w:t>’</w:t>
            </w:r>
            <w:r w:rsidRPr="00BE1EBA">
              <w:t>avec une personne</w:t>
            </w:r>
            <w:r w:rsidR="003262E1" w:rsidRPr="00BE1EBA">
              <w:t>­</w:t>
            </w:r>
            <w:r w:rsidRPr="00BE1EBA">
              <w:t>ressource) :</w:t>
            </w:r>
          </w:p>
        </w:tc>
      </w:tr>
      <w:tr w:rsidR="005919A2" w:rsidRPr="00BE1EBA" w:rsidTr="005919A2">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5919A2" w:rsidRPr="00BE1EBA" w:rsidRDefault="005919A2" w:rsidP="005919A2">
            <w:pPr>
              <w:pStyle w:val="DefaultText"/>
            </w:pPr>
          </w:p>
        </w:tc>
        <w:tc>
          <w:tcPr>
            <w:tcW w:w="9397" w:type="dxa"/>
            <w:gridSpan w:val="2"/>
            <w:tcBorders>
              <w:top w:val="single" w:sz="6" w:space="0" w:color="000000"/>
              <w:left w:val="double" w:sz="8" w:space="0" w:color="000000"/>
              <w:bottom w:val="single" w:sz="6" w:space="0" w:color="000000"/>
              <w:right w:val="single" w:sz="6" w:space="0" w:color="000000"/>
            </w:tcBorders>
            <w:shd w:val="clear" w:color="000000" w:fill="FFFFFF"/>
          </w:tcPr>
          <w:p w:rsidR="005919A2" w:rsidRPr="00BE1EBA" w:rsidRDefault="00207B23" w:rsidP="005919A2">
            <w:pPr>
              <w:pStyle w:val="DefaultText21"/>
            </w:pPr>
            <w:r w:rsidRPr="00BE1EBA">
              <w:t>Nom :</w:t>
            </w:r>
          </w:p>
        </w:tc>
      </w:tr>
      <w:tr w:rsidR="00207B23" w:rsidRPr="00BE1EBA" w:rsidTr="00207B23">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07B23" w:rsidRPr="00BE1EBA" w:rsidRDefault="00207B23" w:rsidP="005919A2">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07B23" w:rsidRPr="00BE1EBA" w:rsidRDefault="00207B23" w:rsidP="00FE4575">
            <w:pPr>
              <w:pStyle w:val="DefaultText21"/>
            </w:pPr>
            <w:r w:rsidRPr="00BE1EBA">
              <w:t>N</w:t>
            </w:r>
            <w:r w:rsidRPr="00BE1EBA">
              <w:rPr>
                <w:vertAlign w:val="superscript"/>
              </w:rPr>
              <w:t>o</w:t>
            </w:r>
            <w:r w:rsidRPr="00BE1EBA">
              <w:t xml:space="preserve"> de Téléphone:</w:t>
            </w:r>
          </w:p>
        </w:tc>
        <w:tc>
          <w:tcPr>
            <w:tcW w:w="7513" w:type="dxa"/>
            <w:tcBorders>
              <w:top w:val="single" w:sz="6" w:space="0" w:color="000000"/>
              <w:left w:val="single" w:sz="6" w:space="0" w:color="000000"/>
              <w:bottom w:val="single" w:sz="6" w:space="0" w:color="000000"/>
              <w:right w:val="single" w:sz="6" w:space="0" w:color="000000"/>
            </w:tcBorders>
            <w:shd w:val="clear" w:color="000000" w:fill="FFFFFF"/>
          </w:tcPr>
          <w:p w:rsidR="00207B23" w:rsidRPr="00BE1EBA" w:rsidRDefault="00207B23" w:rsidP="005919A2">
            <w:pPr>
              <w:pStyle w:val="DefaultText"/>
            </w:pPr>
          </w:p>
        </w:tc>
      </w:tr>
      <w:tr w:rsidR="00207B23" w:rsidRPr="00BE1EBA" w:rsidTr="00207B23">
        <w:tblPrEx>
          <w:tblBorders>
            <w:left w:val="single" w:sz="6" w:space="0" w:color="000000"/>
            <w:insideV w:val="single" w:sz="6" w:space="0" w:color="000000"/>
          </w:tblBorders>
        </w:tblPrEx>
        <w:trPr>
          <w:trHeight w:val="288"/>
        </w:trPr>
        <w:tc>
          <w:tcPr>
            <w:tcW w:w="384" w:type="dxa"/>
            <w:tcBorders>
              <w:top w:val="single" w:sz="8" w:space="0" w:color="000000"/>
              <w:left w:val="double" w:sz="8" w:space="0" w:color="000000"/>
              <w:bottom w:val="double" w:sz="8" w:space="0" w:color="000000"/>
              <w:right w:val="double" w:sz="8" w:space="0" w:color="000000"/>
            </w:tcBorders>
            <w:shd w:val="clear" w:color="000000" w:fill="FFFFFF"/>
          </w:tcPr>
          <w:p w:rsidR="00207B23" w:rsidRPr="00BE1EBA" w:rsidRDefault="00207B23" w:rsidP="005919A2">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07B23" w:rsidRPr="00BE1EBA" w:rsidRDefault="00207B23" w:rsidP="00FE4575">
            <w:pPr>
              <w:pStyle w:val="DefaultText21"/>
            </w:pPr>
            <w:r w:rsidRPr="00BE1EBA">
              <w:t>Courriel :</w:t>
            </w:r>
          </w:p>
        </w:tc>
        <w:tc>
          <w:tcPr>
            <w:tcW w:w="7513" w:type="dxa"/>
            <w:tcBorders>
              <w:top w:val="single" w:sz="6" w:space="0" w:color="000000"/>
              <w:left w:val="single" w:sz="6" w:space="0" w:color="000000"/>
              <w:bottom w:val="single" w:sz="6" w:space="0" w:color="000000"/>
              <w:right w:val="single" w:sz="6" w:space="0" w:color="000000"/>
            </w:tcBorders>
            <w:shd w:val="clear" w:color="000000" w:fill="FFFFFF"/>
          </w:tcPr>
          <w:p w:rsidR="00207B23" w:rsidRPr="00BE1EBA" w:rsidRDefault="00207B23" w:rsidP="005919A2">
            <w:pPr>
              <w:pStyle w:val="DefaultText"/>
            </w:pPr>
          </w:p>
        </w:tc>
      </w:tr>
    </w:tbl>
    <w:p w:rsidR="005919A2" w:rsidRPr="00BE1EBA" w:rsidRDefault="005919A2" w:rsidP="005919A2">
      <w:pPr>
        <w:pStyle w:val="DefaultText21"/>
      </w:pPr>
    </w:p>
    <w:p w:rsidR="005919A2" w:rsidRPr="00BE1EBA" w:rsidRDefault="005919A2" w:rsidP="00AB4AA0">
      <w:pPr>
        <w:pStyle w:val="DefaultText21"/>
        <w:keepNext/>
        <w:keepLines/>
      </w:pPr>
      <w:r w:rsidRPr="00BE1EBA">
        <w:lastRenderedPageBreak/>
        <w:t>Site Web et langue officielle du fournisseur</w:t>
      </w:r>
      <w:r w:rsidRPr="00BE1EBA">
        <w:br/>
      </w:r>
    </w:p>
    <w:p w:rsidR="005919A2" w:rsidRPr="00BE1EBA" w:rsidRDefault="005919A2" w:rsidP="00AB4AA0">
      <w:pPr>
        <w:pStyle w:val="DefaultText21"/>
        <w:keepNext/>
        <w:keepLines/>
      </w:pPr>
      <w:r w:rsidRPr="00BE1EBA">
        <w:t>Adresse du site Web du fournisseur : _________________</w:t>
      </w:r>
      <w:r w:rsidR="00AB4AA0" w:rsidRPr="00BE1EBA">
        <w:t>____________________________</w:t>
      </w:r>
      <w:r w:rsidRPr="00BE1EBA">
        <w:t>_________</w:t>
      </w:r>
      <w:r w:rsidRPr="00BE1EBA">
        <w:tab/>
      </w:r>
    </w:p>
    <w:p w:rsidR="005919A2" w:rsidRPr="00BE1EBA" w:rsidRDefault="005919A2" w:rsidP="005919A2">
      <w:pPr>
        <w:pStyle w:val="DefaultText21"/>
      </w:pPr>
      <w:r w:rsidRPr="00BE1EBA">
        <w:t>Langue officielle du fournisseur</w:t>
      </w:r>
    </w:p>
    <w:p w:rsidR="005919A2" w:rsidRPr="00BE1EBA" w:rsidRDefault="005919A2" w:rsidP="005919A2">
      <w:pPr>
        <w:pStyle w:val="DefaultText21"/>
      </w:pPr>
      <w:r w:rsidRPr="00BE1EBA">
        <w:t>La langue officielle privilégiée par le fournisseur pour les documents de demande de soumissions liés à l</w:t>
      </w:r>
      <w:r w:rsidR="00812400" w:rsidRPr="00BE1EBA">
        <w:t>’</w:t>
      </w:r>
      <w:r w:rsidRPr="00BE1EBA">
        <w:t>AMA subséquent. Le fournisseur doit cocher ou marquer d</w:t>
      </w:r>
      <w:r w:rsidR="00812400" w:rsidRPr="00BE1EBA">
        <w:t>’</w:t>
      </w:r>
      <w:r w:rsidRPr="00BE1EBA">
        <w:t>un « X » l</w:t>
      </w:r>
      <w:r w:rsidR="00812400" w:rsidRPr="00BE1EBA">
        <w:t>’</w:t>
      </w:r>
      <w:r w:rsidRPr="00BE1EBA">
        <w:t>un des choix ci</w:t>
      </w:r>
      <w:r w:rsidR="003262E1" w:rsidRPr="00BE1EBA">
        <w:t>­</w:t>
      </w:r>
      <w:r w:rsidRPr="00BE1EBA">
        <w:t>dessous.</w:t>
      </w:r>
    </w:p>
    <w:p w:rsidR="005919A2" w:rsidRPr="00BE1EBA" w:rsidRDefault="005919A2" w:rsidP="005919A2">
      <w:pPr>
        <w:pStyle w:val="DefaultText21"/>
      </w:pPr>
      <w:r w:rsidRPr="00BE1EBA">
        <w:t>Français : ___________________/Anglais : __________________</w:t>
      </w:r>
    </w:p>
    <w:p w:rsidR="00952735" w:rsidRPr="00BE1EBA" w:rsidRDefault="00952735" w:rsidP="00232778">
      <w:pPr>
        <w:pStyle w:val="ModlesEn-tte3"/>
      </w:pPr>
      <w:bookmarkStart w:id="33" w:name="_Toc412634770"/>
      <w:r w:rsidRPr="00BE1EBA">
        <w:t>5.2.2 Paiement des factures par carte de crédit</w:t>
      </w:r>
      <w:bookmarkEnd w:id="33"/>
    </w:p>
    <w:p w:rsidR="00952735" w:rsidRPr="00BE1EBA" w:rsidRDefault="00952735" w:rsidP="00952735">
      <w:r w:rsidRPr="00BE1EBA">
        <w:t>Le Canada demande que les soumissionnaires complètent l</w:t>
      </w:r>
      <w:r w:rsidR="00812400" w:rsidRPr="00BE1EBA">
        <w:t>’</w:t>
      </w:r>
      <w:r w:rsidRPr="00BE1EBA">
        <w:t>une des suivantes :</w:t>
      </w:r>
    </w:p>
    <w:p w:rsidR="00952735" w:rsidRPr="00BE1EBA" w:rsidRDefault="00952735" w:rsidP="00D76919">
      <w:pPr>
        <w:pStyle w:val="ListParagraph"/>
        <w:numPr>
          <w:ilvl w:val="0"/>
          <w:numId w:val="8"/>
        </w:numPr>
        <w:tabs>
          <w:tab w:val="left" w:pos="567"/>
        </w:tabs>
        <w:ind w:left="1134" w:hanging="992"/>
      </w:pPr>
      <w:r w:rsidRPr="00BE1EBA">
        <w:t xml:space="preserve">(___) </w:t>
      </w:r>
      <w:r w:rsidRPr="00BE1EBA">
        <w:tab/>
        <w:t>les cartes d</w:t>
      </w:r>
      <w:r w:rsidR="00812400" w:rsidRPr="00BE1EBA">
        <w:t>’</w:t>
      </w:r>
      <w:r w:rsidRPr="00BE1EBA">
        <w:t>achat du gouvernement du Canada (cartes de crédit) seront acceptées pour le paiement des factures. Les cartes suivantes sont acceptées:</w:t>
      </w:r>
    </w:p>
    <w:p w:rsidR="00952735" w:rsidRPr="00BE1EBA" w:rsidRDefault="00952735" w:rsidP="00510CC9">
      <w:pPr>
        <w:ind w:left="567"/>
      </w:pPr>
      <w:r w:rsidRPr="00BE1EBA">
        <w:t>(___)VISA ______</w:t>
      </w:r>
    </w:p>
    <w:p w:rsidR="00952735" w:rsidRPr="00BE1EBA" w:rsidRDefault="00952735" w:rsidP="00510CC9">
      <w:pPr>
        <w:ind w:left="567"/>
      </w:pPr>
      <w:r w:rsidRPr="00BE1EBA">
        <w:t>(___)MasterCard ______.</w:t>
      </w:r>
    </w:p>
    <w:p w:rsidR="00952735" w:rsidRPr="00BE1EBA" w:rsidRDefault="00952735" w:rsidP="00681DF1">
      <w:r w:rsidRPr="00BE1EBA">
        <w:t>OU</w:t>
      </w:r>
    </w:p>
    <w:p w:rsidR="00952735" w:rsidRPr="00BE1EBA" w:rsidRDefault="00952735" w:rsidP="00D76919">
      <w:pPr>
        <w:pStyle w:val="ListParagraph"/>
        <w:numPr>
          <w:ilvl w:val="0"/>
          <w:numId w:val="8"/>
        </w:numPr>
        <w:tabs>
          <w:tab w:val="left" w:pos="567"/>
        </w:tabs>
        <w:ind w:left="1134" w:hanging="992"/>
      </w:pPr>
      <w:r w:rsidRPr="00BE1EBA">
        <w:t>(___)</w:t>
      </w:r>
      <w:r w:rsidRPr="00BE1EBA">
        <w:tab/>
        <w:t>les cartes d</w:t>
      </w:r>
      <w:r w:rsidR="00812400" w:rsidRPr="00BE1EBA">
        <w:t>’</w:t>
      </w:r>
      <w:r w:rsidRPr="00BE1EBA">
        <w:t>achat du gouvernement du Canada (cartes de crédit) ne seront pas acceptées pour le paiement des factures.</w:t>
      </w:r>
    </w:p>
    <w:p w:rsidR="00952735" w:rsidRPr="00BE1EBA" w:rsidRDefault="00952735" w:rsidP="00952735">
      <w:r w:rsidRPr="00BE1EBA">
        <w:t>Le soumissionnaire n</w:t>
      </w:r>
      <w:r w:rsidR="00812400" w:rsidRPr="00BE1EBA">
        <w:t>’</w:t>
      </w:r>
      <w:r w:rsidRPr="00BE1EBA">
        <w:t>est pas obligé d</w:t>
      </w:r>
      <w:r w:rsidR="00812400" w:rsidRPr="00BE1EBA">
        <w:t>’</w:t>
      </w:r>
      <w:r w:rsidRPr="00BE1EBA">
        <w:t>accepter les paiements par carte de crédit.</w:t>
      </w:r>
    </w:p>
    <w:p w:rsidR="005919A2" w:rsidRPr="00BE1EBA" w:rsidRDefault="00952735" w:rsidP="00952735">
      <w:r w:rsidRPr="00BE1EBA">
        <w:t>L</w:t>
      </w:r>
      <w:r w:rsidR="00812400" w:rsidRPr="00BE1EBA">
        <w:t>’</w:t>
      </w:r>
      <w:r w:rsidRPr="00BE1EBA">
        <w:t>acceptation du paiement par carte de crédit ne sera pas considérée comme un critère d</w:t>
      </w:r>
      <w:r w:rsidR="00812400" w:rsidRPr="00BE1EBA">
        <w:t>’</w:t>
      </w:r>
      <w:r w:rsidRPr="00BE1EBA">
        <w:t>évaluation.</w:t>
      </w:r>
    </w:p>
    <w:p w:rsidR="00CC3B30" w:rsidRPr="00BE1EBA" w:rsidRDefault="006D3CB4">
      <w:pPr>
        <w:spacing w:after="0"/>
        <w:rPr>
          <w:rFonts w:cs="Times New Roman"/>
          <w:b/>
          <w:bCs/>
          <w:iCs/>
          <w:szCs w:val="28"/>
        </w:rPr>
      </w:pPr>
      <w:r w:rsidRPr="00BE1EBA">
        <w:br w:type="page"/>
      </w:r>
    </w:p>
    <w:p w:rsidR="00B24B16" w:rsidRPr="00BE1EBA" w:rsidRDefault="00B24B16" w:rsidP="00467857">
      <w:pPr>
        <w:pStyle w:val="ModlesEn-tte1"/>
      </w:pPr>
      <w:bookmarkStart w:id="34" w:name="_Toc413070274"/>
      <w:r w:rsidRPr="00BE1EBA">
        <w:lastRenderedPageBreak/>
        <w:t>PARTIE 6 – ARRANGEMENT EN MATIÈRE D</w:t>
      </w:r>
      <w:r w:rsidR="00812400" w:rsidRPr="00BE1EBA">
        <w:t>’</w:t>
      </w:r>
      <w:r w:rsidRPr="00BE1EBA">
        <w:t>APPROVISIONNEMENT ET CLAUSES DU CONTRAT SUBSÉQUENT</w:t>
      </w:r>
      <w:bookmarkEnd w:id="34"/>
    </w:p>
    <w:p w:rsidR="00B24B16" w:rsidRPr="00BE1EBA" w:rsidRDefault="00424033" w:rsidP="00232778">
      <w:pPr>
        <w:pStyle w:val="ModlesEn-tte2"/>
      </w:pPr>
      <w:bookmarkStart w:id="35" w:name="_Toc413070275"/>
      <w:r w:rsidRPr="00BE1EBA">
        <w:t>6A.</w:t>
      </w:r>
      <w:r w:rsidRPr="00BE1EBA">
        <w:tab/>
        <w:t>ARRANGEMENT EN MATIÈRE D</w:t>
      </w:r>
      <w:r w:rsidR="00812400" w:rsidRPr="00BE1EBA">
        <w:t>’</w:t>
      </w:r>
      <w:r w:rsidRPr="00BE1EBA">
        <w:t>APPROVISIONNEMENT</w:t>
      </w:r>
      <w:bookmarkEnd w:id="35"/>
    </w:p>
    <w:p w:rsidR="00B24B16" w:rsidRPr="00BE1EBA" w:rsidRDefault="003E317D" w:rsidP="00232778">
      <w:pPr>
        <w:pStyle w:val="ModlesEn-tte2"/>
      </w:pPr>
      <w:bookmarkStart w:id="36" w:name="_Toc413070276"/>
      <w:r w:rsidRPr="00BE1EBA">
        <w:t>6A1</w:t>
      </w:r>
      <w:r w:rsidRPr="00BE1EBA">
        <w:tab/>
        <w:t>Arrangement</w:t>
      </w:r>
      <w:bookmarkEnd w:id="36"/>
    </w:p>
    <w:p w:rsidR="00424033" w:rsidRPr="00BE1EBA" w:rsidRDefault="00424033" w:rsidP="00424033">
      <w:r w:rsidRPr="00BE1EBA">
        <w:t>L</w:t>
      </w:r>
      <w:r w:rsidR="00812400" w:rsidRPr="00BE1EBA">
        <w:t>’</w:t>
      </w:r>
      <w:r w:rsidRPr="00BE1EBA">
        <w:t>AMA couvre les travaux décrits à l</w:t>
      </w:r>
      <w:r w:rsidR="00812400" w:rsidRPr="00BE1EBA">
        <w:t>’</w:t>
      </w:r>
      <w:r w:rsidRPr="00BE1EBA">
        <w:t>Annexe A.</w:t>
      </w:r>
    </w:p>
    <w:p w:rsidR="00640D4B" w:rsidRPr="00BE1EBA" w:rsidRDefault="00640D4B" w:rsidP="00640D4B">
      <w:pPr>
        <w:pStyle w:val="ModlesEn-tte3"/>
      </w:pPr>
      <w:bookmarkStart w:id="37" w:name="_Toc412634774"/>
      <w:r w:rsidRPr="00BE1EBA">
        <w:t>6A.1.1</w:t>
      </w:r>
      <w:r w:rsidRPr="00BE1EBA">
        <w:tab/>
        <w:t>Définitions</w:t>
      </w:r>
      <w:bookmarkEnd w:id="37"/>
    </w:p>
    <w:p w:rsidR="00B85887" w:rsidRPr="00BE1EBA" w:rsidRDefault="00B85887" w:rsidP="00640D4B">
      <w:pPr>
        <w:pStyle w:val="defaulttext0"/>
      </w:pPr>
      <w:r w:rsidRPr="00BE1EBA">
        <w:rPr>
          <w:b/>
        </w:rPr>
        <w:t>DGA/P –</w:t>
      </w:r>
      <w:r w:rsidRPr="00BE1EBA">
        <w:t xml:space="preserve"> Regroupe la DGA et le PA.</w:t>
      </w:r>
    </w:p>
    <w:p w:rsidR="00B85887" w:rsidRPr="00BE1EBA" w:rsidRDefault="00B85887" w:rsidP="00640D4B">
      <w:r w:rsidRPr="00BE1EBA">
        <w:rPr>
          <w:b/>
        </w:rPr>
        <w:t>Direction générale des approvisionnements (DGA) </w:t>
      </w:r>
      <w:r w:rsidRPr="00BE1EBA">
        <w:t>– Il s</w:t>
      </w:r>
      <w:r w:rsidR="00812400" w:rsidRPr="00BE1EBA">
        <w:t>’</w:t>
      </w:r>
      <w:r w:rsidRPr="00BE1EBA">
        <w:t>agit des bureaux d</w:t>
      </w:r>
      <w:r w:rsidR="00812400" w:rsidRPr="00BE1EBA">
        <w:t>’</w:t>
      </w:r>
      <w:r w:rsidRPr="00BE1EBA">
        <w:t>approvisionnement de la DGA de TPSGC à l</w:t>
      </w:r>
      <w:r w:rsidR="00812400" w:rsidRPr="00BE1EBA">
        <w:t>’</w:t>
      </w:r>
      <w:r w:rsidRPr="00BE1EBA">
        <w:t>administration centrale de TPSGC, à Gatineau (Québec). Le responsable de l</w:t>
      </w:r>
      <w:r w:rsidR="00812400" w:rsidRPr="00BE1EBA">
        <w:t>’</w:t>
      </w:r>
      <w:r w:rsidRPr="00BE1EBA">
        <w:t>AMA fait partie de la DGA.</w:t>
      </w:r>
    </w:p>
    <w:p w:rsidR="00B85887" w:rsidRPr="00BE1EBA" w:rsidRDefault="00B85887" w:rsidP="00640D4B">
      <w:r w:rsidRPr="00BE1EBA">
        <w:rPr>
          <w:b/>
        </w:rPr>
        <w:t>Programme d</w:t>
      </w:r>
      <w:r w:rsidR="00812400" w:rsidRPr="00BE1EBA">
        <w:rPr>
          <w:b/>
        </w:rPr>
        <w:t>’</w:t>
      </w:r>
      <w:r w:rsidRPr="00BE1EBA">
        <w:rPr>
          <w:b/>
        </w:rPr>
        <w:t>approvisionnement (PA) –</w:t>
      </w:r>
      <w:r w:rsidRPr="00BE1EBA">
        <w:t xml:space="preserve"> Il s</w:t>
      </w:r>
      <w:r w:rsidR="00812400" w:rsidRPr="00BE1EBA">
        <w:t>’</w:t>
      </w:r>
      <w:r w:rsidRPr="00BE1EBA">
        <w:t>agit des bureaux d</w:t>
      </w:r>
      <w:r w:rsidR="00812400" w:rsidRPr="00BE1EBA">
        <w:t>’</w:t>
      </w:r>
      <w:r w:rsidRPr="00BE1EBA">
        <w:t>approvisionnement régionaux et de l</w:t>
      </w:r>
      <w:r w:rsidR="00812400" w:rsidRPr="00BE1EBA">
        <w:t>’</w:t>
      </w:r>
      <w:r w:rsidRPr="00BE1EBA">
        <w:t>administration centrale de TPSGC répartis un peu partout au Canada.</w:t>
      </w:r>
    </w:p>
    <w:p w:rsidR="00B85887" w:rsidRPr="00BE1EBA" w:rsidRDefault="00B85887" w:rsidP="00640D4B">
      <w:pPr>
        <w:pStyle w:val="defaulttext0"/>
      </w:pPr>
      <w:r w:rsidRPr="00BE1EBA">
        <w:rPr>
          <w:b/>
        </w:rPr>
        <w:t>RAA –</w:t>
      </w:r>
      <w:r w:rsidRPr="00BE1EBA">
        <w:t xml:space="preserve"> Responsable de l</w:t>
      </w:r>
      <w:r w:rsidR="00812400" w:rsidRPr="00BE1EBA">
        <w:t>’</w:t>
      </w:r>
      <w:r w:rsidRPr="00BE1EBA">
        <w:t>AMA</w:t>
      </w:r>
    </w:p>
    <w:p w:rsidR="00B24B16" w:rsidRPr="00BE1EBA" w:rsidRDefault="003E317D" w:rsidP="00232778">
      <w:pPr>
        <w:pStyle w:val="ModlesEn-tte2"/>
      </w:pPr>
      <w:bookmarkStart w:id="38" w:name="_Toc413070277"/>
      <w:r w:rsidRPr="00BE1EBA">
        <w:t>6A.2</w:t>
      </w:r>
      <w:r w:rsidRPr="00BE1EBA">
        <w:tab/>
        <w:t>Exigences relatives à la sécurité</w:t>
      </w:r>
      <w:bookmarkEnd w:id="38"/>
    </w:p>
    <w:p w:rsidR="00424033" w:rsidRPr="00BE1EBA" w:rsidRDefault="00424033" w:rsidP="00424033">
      <w:r w:rsidRPr="00BE1EBA">
        <w:t>La publication d</w:t>
      </w:r>
      <w:r w:rsidR="00812400" w:rsidRPr="00BE1EBA">
        <w:t>’</w:t>
      </w:r>
      <w:r w:rsidRPr="00BE1EBA">
        <w:t>un AMA ne comporte aucune exigence relative à la sécurité</w:t>
      </w:r>
      <w:r w:rsidR="00EF7715" w:rsidRPr="00BE1EBA">
        <w:t xml:space="preserve">. </w:t>
      </w:r>
      <w:r w:rsidRPr="00BE1EBA">
        <w:t>Cependant, la livraison et l</w:t>
      </w:r>
      <w:r w:rsidR="00812400" w:rsidRPr="00BE1EBA">
        <w:t>’</w:t>
      </w:r>
      <w:r w:rsidRPr="00BE1EBA">
        <w:t>installation des biens achetés dans le cadre de cet AMA peuvent être soumises à des exigences relatives à la sécurité</w:t>
      </w:r>
      <w:r w:rsidR="00EF7715" w:rsidRPr="00BE1EBA">
        <w:t xml:space="preserve">. </w:t>
      </w:r>
      <w:r w:rsidRPr="00BE1EBA">
        <w:t>Toutes les exigences relatives à la sécurité seront comprises dans l</w:t>
      </w:r>
      <w:r w:rsidR="00812400" w:rsidRPr="00BE1EBA">
        <w:t>’</w:t>
      </w:r>
      <w:r w:rsidRPr="00BE1EBA">
        <w:t>invitation à soumissionner et les clauses appropriées seront intégrées dans le contrat subséquent.</w:t>
      </w:r>
    </w:p>
    <w:p w:rsidR="00B24B16" w:rsidRPr="00BE1EBA" w:rsidRDefault="003E317D" w:rsidP="00232778">
      <w:pPr>
        <w:pStyle w:val="ModlesEn-tte2"/>
      </w:pPr>
      <w:bookmarkStart w:id="39" w:name="_Toc413070278"/>
      <w:r w:rsidRPr="00BE1EBA">
        <w:t>6A.3</w:t>
      </w:r>
      <w:r w:rsidRPr="00BE1EBA">
        <w:tab/>
        <w:t>Clauses et conditions uniformisées</w:t>
      </w:r>
      <w:bookmarkEnd w:id="39"/>
    </w:p>
    <w:p w:rsidR="00B24B16" w:rsidRPr="00BE1EBA" w:rsidRDefault="00B24B16" w:rsidP="00424033">
      <w:r w:rsidRPr="00BE1EBA">
        <w:t>Toutes les clauses et conditions identifiées dans l</w:t>
      </w:r>
      <w:r w:rsidR="00812400" w:rsidRPr="00BE1EBA">
        <w:t>’</w:t>
      </w:r>
      <w:r w:rsidRPr="00BE1EBA">
        <w:t>arrangement en matière d</w:t>
      </w:r>
      <w:r w:rsidR="00812400" w:rsidRPr="00BE1EBA">
        <w:t>’</w:t>
      </w:r>
      <w:r w:rsidRPr="00BE1EBA">
        <w:t xml:space="preserve">approvisionnement (AMA) et contrat(s) subséquent(s) par un numéro, une date et un titre sont reproduites dans le </w:t>
      </w:r>
      <w:hyperlink r:id="rId14" w:history="1">
        <w:r w:rsidRPr="00BE1EBA">
          <w:rPr>
            <w:rStyle w:val="Hyperlink"/>
          </w:rPr>
          <w:t>Guide des clauses et conditions uniformisées d</w:t>
        </w:r>
        <w:r w:rsidR="00812400" w:rsidRPr="00BE1EBA">
          <w:rPr>
            <w:rStyle w:val="Hyperlink"/>
          </w:rPr>
          <w:t>’</w:t>
        </w:r>
        <w:r w:rsidRPr="00BE1EBA">
          <w:rPr>
            <w:rStyle w:val="Hyperlink"/>
          </w:rPr>
          <w:t>achat</w:t>
        </w:r>
      </w:hyperlink>
      <w:r w:rsidRPr="00BE1EBA">
        <w:t xml:space="preserve"> </w:t>
      </w:r>
      <w:r w:rsidRPr="00BE1EBA">
        <w:rPr>
          <w:b/>
          <w:u w:val="single"/>
        </w:rPr>
        <w:t>(</w:t>
      </w:r>
      <w:r w:rsidRPr="00BE1EBA">
        <w:t>https://achatsetventes.gc.ca/politiques</w:t>
      </w:r>
      <w:r w:rsidR="003262E1" w:rsidRPr="00BE1EBA">
        <w:t>­</w:t>
      </w:r>
      <w:r w:rsidRPr="00BE1EBA">
        <w:t>et</w:t>
      </w:r>
      <w:r w:rsidR="003262E1" w:rsidRPr="00BE1EBA">
        <w:t>­</w:t>
      </w:r>
      <w:r w:rsidRPr="00BE1EBA">
        <w:t>lignes</w:t>
      </w:r>
      <w:r w:rsidR="003262E1" w:rsidRPr="00BE1EBA">
        <w:t>­</w:t>
      </w:r>
      <w:r w:rsidRPr="00BE1EBA">
        <w:t>directrices/guide</w:t>
      </w:r>
      <w:r w:rsidR="003262E1" w:rsidRPr="00BE1EBA">
        <w:t>­</w:t>
      </w:r>
      <w:r w:rsidRPr="00BE1EBA">
        <w:t>des</w:t>
      </w:r>
      <w:r w:rsidR="003262E1" w:rsidRPr="00BE1EBA">
        <w:t>­</w:t>
      </w:r>
      <w:r w:rsidRPr="00BE1EBA">
        <w:t>clauses</w:t>
      </w:r>
      <w:r w:rsidR="003262E1" w:rsidRPr="00BE1EBA">
        <w:t>­</w:t>
      </w:r>
      <w:r w:rsidRPr="00BE1EBA">
        <w:t>et</w:t>
      </w:r>
      <w:r w:rsidR="003262E1" w:rsidRPr="00BE1EBA">
        <w:t>­</w:t>
      </w:r>
      <w:r w:rsidRPr="00BE1EBA">
        <w:t>conditions</w:t>
      </w:r>
      <w:r w:rsidR="003262E1" w:rsidRPr="00BE1EBA">
        <w:t>­</w:t>
      </w:r>
      <w:r w:rsidRPr="00BE1EBA">
        <w:t>uniformisees</w:t>
      </w:r>
      <w:r w:rsidR="003262E1" w:rsidRPr="00BE1EBA">
        <w:t>­</w:t>
      </w:r>
      <w:r w:rsidRPr="00BE1EBA">
        <w:t>d</w:t>
      </w:r>
      <w:r w:rsidR="003262E1" w:rsidRPr="00BE1EBA">
        <w:t>­</w:t>
      </w:r>
      <w:r w:rsidRPr="00BE1EBA">
        <w:t>achat) publié par Travaux publics et Services gouvernementaux Canada.</w:t>
      </w:r>
    </w:p>
    <w:p w:rsidR="00B24B16" w:rsidRPr="00BE1EBA" w:rsidRDefault="003E317D" w:rsidP="005F083B">
      <w:pPr>
        <w:pStyle w:val="ModlesEn-tte3"/>
      </w:pPr>
      <w:bookmarkStart w:id="40" w:name="_Toc412634777"/>
      <w:r w:rsidRPr="00BE1EBA">
        <w:t>6A.3.1</w:t>
      </w:r>
      <w:r w:rsidRPr="00BE1EBA">
        <w:tab/>
        <w:t>Conditions générales</w:t>
      </w:r>
      <w:bookmarkEnd w:id="40"/>
    </w:p>
    <w:p w:rsidR="00B24B16" w:rsidRPr="00BE1EBA" w:rsidRDefault="00731813">
      <w:pPr>
        <w:pStyle w:val="DefaultText"/>
        <w:rPr>
          <w:rStyle w:val="AnchorA"/>
          <w:color w:val="auto"/>
          <w:u w:val="none"/>
        </w:rPr>
      </w:pPr>
      <w:hyperlink r:id="rId15" w:history="1">
        <w:r w:rsidR="00B91540" w:rsidRPr="00BE1EBA">
          <w:rPr>
            <w:rStyle w:val="Hyperlink"/>
          </w:rPr>
          <w:t>2020</w:t>
        </w:r>
      </w:hyperlink>
      <w:r w:rsidR="00B91540" w:rsidRPr="00BE1EBA">
        <w:rPr>
          <w:rStyle w:val="AnchorA"/>
          <w:color w:val="auto"/>
          <w:u w:val="none"/>
        </w:rPr>
        <w:t xml:space="preserve"> (</w:t>
      </w:r>
      <w:r w:rsidR="00B91540" w:rsidRPr="00BE1EBA">
        <w:rPr>
          <w:rStyle w:val="Emphasis"/>
          <w:i w:val="0"/>
        </w:rPr>
        <w:t>2014</w:t>
      </w:r>
      <w:r w:rsidR="003262E1" w:rsidRPr="00BE1EBA">
        <w:rPr>
          <w:rStyle w:val="Emphasis"/>
          <w:i w:val="0"/>
        </w:rPr>
        <w:t>­</w:t>
      </w:r>
      <w:r w:rsidR="00B91540" w:rsidRPr="00BE1EBA">
        <w:rPr>
          <w:rStyle w:val="Emphasis"/>
          <w:i w:val="0"/>
        </w:rPr>
        <w:t>09</w:t>
      </w:r>
      <w:r w:rsidR="003262E1" w:rsidRPr="00BE1EBA">
        <w:rPr>
          <w:rStyle w:val="Emphasis"/>
          <w:i w:val="0"/>
        </w:rPr>
        <w:t>­</w:t>
      </w:r>
      <w:r w:rsidR="00B91540" w:rsidRPr="00BE1EBA">
        <w:rPr>
          <w:rStyle w:val="Emphasis"/>
          <w:i w:val="0"/>
        </w:rPr>
        <w:t>25</w:t>
      </w:r>
      <w:r w:rsidR="00B91540" w:rsidRPr="00BE1EBA">
        <w:t>)</w:t>
      </w:r>
      <w:r w:rsidR="00B91540" w:rsidRPr="00BE1EBA">
        <w:rPr>
          <w:rStyle w:val="AnchorA"/>
          <w:i/>
          <w:u w:val="none"/>
        </w:rPr>
        <w:t>,</w:t>
      </w:r>
      <w:r w:rsidR="00B91540" w:rsidRPr="00BE1EBA">
        <w:rPr>
          <w:rStyle w:val="AnchorA"/>
          <w:u w:val="none"/>
        </w:rPr>
        <w:t xml:space="preserve"> </w:t>
      </w:r>
      <w:r w:rsidR="00B91540" w:rsidRPr="00BE1EBA">
        <w:rPr>
          <w:rStyle w:val="AnchorA"/>
          <w:color w:val="auto"/>
          <w:u w:val="none"/>
        </w:rPr>
        <w:t>Conditions générales</w:t>
      </w:r>
      <w:r w:rsidR="002A6210" w:rsidRPr="00BE1EBA">
        <w:rPr>
          <w:rStyle w:val="AnchorA"/>
          <w:color w:val="auto"/>
          <w:u w:val="none"/>
        </w:rPr>
        <w:t xml:space="preserve"> – </w:t>
      </w:r>
      <w:r w:rsidR="00B91540" w:rsidRPr="00BE1EBA">
        <w:rPr>
          <w:rStyle w:val="AnchorA"/>
          <w:color w:val="auto"/>
          <w:u w:val="none"/>
        </w:rPr>
        <w:t>arrangement en matière d</w:t>
      </w:r>
      <w:r w:rsidR="00812400" w:rsidRPr="00BE1EBA">
        <w:rPr>
          <w:rStyle w:val="AnchorA"/>
          <w:color w:val="auto"/>
          <w:u w:val="none"/>
        </w:rPr>
        <w:t>’</w:t>
      </w:r>
      <w:r w:rsidR="00B91540" w:rsidRPr="00BE1EBA">
        <w:rPr>
          <w:rStyle w:val="AnchorA"/>
          <w:color w:val="auto"/>
          <w:u w:val="none"/>
        </w:rPr>
        <w:t>approvisionnement</w:t>
      </w:r>
      <w:r w:rsidR="002A6210" w:rsidRPr="00BE1EBA">
        <w:rPr>
          <w:rStyle w:val="AnchorA"/>
          <w:color w:val="auto"/>
          <w:u w:val="none"/>
        </w:rPr>
        <w:t xml:space="preserve"> – </w:t>
      </w:r>
      <w:r w:rsidR="00B91540" w:rsidRPr="00BE1EBA">
        <w:rPr>
          <w:rStyle w:val="AnchorA"/>
          <w:color w:val="auto"/>
          <w:u w:val="none"/>
        </w:rPr>
        <w:t>biens ou services, s</w:t>
      </w:r>
      <w:r w:rsidR="00812400" w:rsidRPr="00BE1EBA">
        <w:rPr>
          <w:rStyle w:val="AnchorA"/>
          <w:color w:val="auto"/>
          <w:u w:val="none"/>
        </w:rPr>
        <w:t>’</w:t>
      </w:r>
      <w:r w:rsidR="00B91540" w:rsidRPr="00BE1EBA">
        <w:rPr>
          <w:rStyle w:val="AnchorA"/>
          <w:color w:val="auto"/>
          <w:u w:val="none"/>
        </w:rPr>
        <w:t>appliquent au présent arrangement en matière d</w:t>
      </w:r>
      <w:r w:rsidR="00812400" w:rsidRPr="00BE1EBA">
        <w:rPr>
          <w:rStyle w:val="AnchorA"/>
          <w:color w:val="auto"/>
          <w:u w:val="none"/>
        </w:rPr>
        <w:t>’</w:t>
      </w:r>
      <w:r w:rsidR="00B91540" w:rsidRPr="00BE1EBA">
        <w:rPr>
          <w:rStyle w:val="AnchorA"/>
          <w:color w:val="auto"/>
          <w:u w:val="none"/>
        </w:rPr>
        <w:t>approvisionnement et en font partie intégrante.</w:t>
      </w:r>
    </w:p>
    <w:p w:rsidR="00424033" w:rsidRPr="00BE1EBA" w:rsidRDefault="00424033" w:rsidP="00424033">
      <w:r w:rsidRPr="00BE1EBA">
        <w:t>Article 5, Modifications du document 2020 (2014</w:t>
      </w:r>
      <w:r w:rsidR="003262E1" w:rsidRPr="00BE1EBA">
        <w:t>­</w:t>
      </w:r>
      <w:r w:rsidRPr="00BE1EBA">
        <w:t>09</w:t>
      </w:r>
      <w:r w:rsidR="003262E1" w:rsidRPr="00BE1EBA">
        <w:t>­</w:t>
      </w:r>
      <w:r w:rsidRPr="00BE1EBA">
        <w:t>25), Conditions générales – arrangements en matière d</w:t>
      </w:r>
      <w:r w:rsidR="00812400" w:rsidRPr="00BE1EBA">
        <w:t>’</w:t>
      </w:r>
      <w:r w:rsidRPr="00BE1EBA">
        <w:t>approvisionnement – biens ou services : Le Canada se réserve le droit de modifier l</w:t>
      </w:r>
      <w:r w:rsidR="00812400" w:rsidRPr="00BE1EBA">
        <w:t>’</w:t>
      </w:r>
      <w:r w:rsidRPr="00BE1EBA">
        <w:t xml:space="preserve">AMA, comme suit : </w:t>
      </w:r>
    </w:p>
    <w:p w:rsidR="00424033" w:rsidRPr="00BE1EBA" w:rsidRDefault="00424033" w:rsidP="00424033">
      <w:r w:rsidRPr="00BE1EBA">
        <w:t>a)</w:t>
      </w:r>
      <w:r w:rsidRPr="00BE1EBA">
        <w:tab/>
        <w:t>Le Canada peut modifier l</w:t>
      </w:r>
      <w:r w:rsidR="00812400" w:rsidRPr="00BE1EBA">
        <w:t>’</w:t>
      </w:r>
      <w:r w:rsidRPr="00BE1EBA">
        <w:t>AMA pour autoriser des produits ou services supplémentaires</w:t>
      </w:r>
      <w:r w:rsidR="00EF7715" w:rsidRPr="00BE1EBA">
        <w:t xml:space="preserve">. </w:t>
      </w:r>
    </w:p>
    <w:p w:rsidR="00424033" w:rsidRPr="00BE1EBA" w:rsidRDefault="00424033" w:rsidP="00424033">
      <w:pPr>
        <w:pStyle w:val="DefaultText21"/>
        <w:shd w:val="clear" w:color="000000" w:fill="FFFFFF"/>
      </w:pPr>
      <w:r w:rsidRPr="00BE1EBA">
        <w:t>b)</w:t>
      </w:r>
      <w:r w:rsidRPr="00BE1EBA">
        <w:tab/>
        <w:t>Prix plafond/taux maximum – Possibilité de modification</w:t>
      </w:r>
    </w:p>
    <w:p w:rsidR="00424033" w:rsidRPr="00BE1EBA" w:rsidRDefault="00424033" w:rsidP="00836E72">
      <w:pPr>
        <w:pStyle w:val="DefaultText21"/>
        <w:shd w:val="clear" w:color="000000" w:fill="FFFFFF"/>
        <w:tabs>
          <w:tab w:val="clear" w:pos="0"/>
          <w:tab w:val="left" w:pos="1134"/>
        </w:tabs>
        <w:ind w:left="1134" w:hanging="567"/>
      </w:pPr>
      <w:r w:rsidRPr="00BE1EBA">
        <w:t>i)</w:t>
      </w:r>
      <w:r w:rsidR="002A6210" w:rsidRPr="00BE1EBA">
        <w:t xml:space="preserve"> </w:t>
      </w:r>
      <w:r w:rsidRPr="00BE1EBA">
        <w:tab/>
        <w:t>Le prix plafond ou le taux maximum du fournisseur établis à l</w:t>
      </w:r>
      <w:r w:rsidR="00812400" w:rsidRPr="00BE1EBA">
        <w:t>’</w:t>
      </w:r>
      <w:r w:rsidRPr="00BE1EBA">
        <w:t>Annexe B restera en vigueur jusqu</w:t>
      </w:r>
      <w:r w:rsidR="00812400" w:rsidRPr="00BE1EBA">
        <w:t>’</w:t>
      </w:r>
      <w:r w:rsidRPr="00BE1EBA">
        <w:t>au ___ (on estime que la durée sera de 24 mois à compter de la date de clôture de la DAMA et que la date sera ajoutée au moment de l</w:t>
      </w:r>
      <w:r w:rsidR="00812400" w:rsidRPr="00BE1EBA">
        <w:t>’</w:t>
      </w:r>
      <w:r w:rsidRPr="00BE1EBA">
        <w:t>attribution de l</w:t>
      </w:r>
      <w:r w:rsidR="00812400" w:rsidRPr="00BE1EBA">
        <w:t>’</w:t>
      </w:r>
      <w:r w:rsidRPr="00BE1EBA">
        <w:t>AMA)</w:t>
      </w:r>
      <w:r w:rsidR="00EF7715" w:rsidRPr="00BE1EBA">
        <w:t xml:space="preserve">. </w:t>
      </w:r>
      <w:r w:rsidRPr="00BE1EBA">
        <w:t>Avant le ________ (la date sera ajoutée lors de l</w:t>
      </w:r>
      <w:r w:rsidR="00812400" w:rsidRPr="00BE1EBA">
        <w:t>’</w:t>
      </w:r>
      <w:r w:rsidRPr="00BE1EBA">
        <w:t>attribution de l</w:t>
      </w:r>
      <w:r w:rsidR="00812400" w:rsidRPr="00BE1EBA">
        <w:t>’</w:t>
      </w:r>
      <w:r w:rsidRPr="00BE1EBA">
        <w:t>AMA), le responsable de l</w:t>
      </w:r>
      <w:r w:rsidR="00812400" w:rsidRPr="00BE1EBA">
        <w:t>’</w:t>
      </w:r>
      <w:r w:rsidRPr="00BE1EBA">
        <w:t>AMA offrira au fournisseur le choix de maintenir son prix plafond/son taux maximum pour la période de 24 mois suivante ou de le modifier. Ce cycle est répété pendant toute la durée de l</w:t>
      </w:r>
      <w:r w:rsidR="00812400" w:rsidRPr="00BE1EBA">
        <w:t>’</w:t>
      </w:r>
      <w:r w:rsidRPr="00BE1EBA">
        <w:t>AMA.</w:t>
      </w:r>
      <w:r w:rsidRPr="00BE1EBA">
        <w:br/>
        <w:t xml:space="preserve"> </w:t>
      </w:r>
    </w:p>
    <w:p w:rsidR="00424033" w:rsidRPr="00BE1EBA" w:rsidRDefault="00424033" w:rsidP="00836E72">
      <w:pPr>
        <w:pStyle w:val="DefaultText21"/>
        <w:shd w:val="clear" w:color="000000" w:fill="FFFFFF"/>
        <w:tabs>
          <w:tab w:val="clear" w:pos="0"/>
          <w:tab w:val="left" w:pos="1134"/>
        </w:tabs>
        <w:ind w:left="1134" w:hanging="567"/>
      </w:pPr>
      <w:r w:rsidRPr="00BE1EBA">
        <w:t>ii)</w:t>
      </w:r>
      <w:r w:rsidR="002A6210" w:rsidRPr="00BE1EBA">
        <w:t xml:space="preserve"> </w:t>
      </w:r>
      <w:r w:rsidRPr="00BE1EBA">
        <w:tab/>
        <w:t>Dans le cadre de cette possibilité de modification des prix, lorsqu</w:t>
      </w:r>
      <w:r w:rsidR="00812400" w:rsidRPr="00BE1EBA">
        <w:t>’</w:t>
      </w:r>
      <w:r w:rsidRPr="00BE1EBA">
        <w:t>un fournisseur existant choisit de ne pas changer son prix plafond ou son taux maximum, il doit fournir au responsable de l</w:t>
      </w:r>
      <w:r w:rsidR="00812400" w:rsidRPr="00BE1EBA">
        <w:t>’</w:t>
      </w:r>
      <w:r w:rsidRPr="00BE1EBA">
        <w:t>AMA une déclaration indiquant qu</w:t>
      </w:r>
      <w:r w:rsidR="00812400" w:rsidRPr="00BE1EBA">
        <w:t>’</w:t>
      </w:r>
      <w:r w:rsidRPr="00BE1EBA">
        <w:t>il n</w:t>
      </w:r>
      <w:r w:rsidR="00812400" w:rsidRPr="00BE1EBA">
        <w:t>’</w:t>
      </w:r>
      <w:r w:rsidRPr="00BE1EBA">
        <w:t xml:space="preserve">y a aucun changement de prix ou de </w:t>
      </w:r>
      <w:r w:rsidRPr="00BE1EBA">
        <w:lastRenderedPageBreak/>
        <w:t>taux et que les prix ou les taux existants figurant dans l</w:t>
      </w:r>
      <w:r w:rsidR="00812400" w:rsidRPr="00BE1EBA">
        <w:t>’</w:t>
      </w:r>
      <w:r w:rsidRPr="00BE1EBA">
        <w:t>AMA demeureront en vigueur pendant la période de tarification suivante</w:t>
      </w:r>
      <w:r w:rsidR="00EF7715" w:rsidRPr="00BE1EBA">
        <w:t xml:space="preserve">. </w:t>
      </w:r>
      <w:r w:rsidRPr="00BE1EBA">
        <w:t>Le responsable de l</w:t>
      </w:r>
      <w:r w:rsidR="00812400" w:rsidRPr="00BE1EBA">
        <w:t>’</w:t>
      </w:r>
      <w:r w:rsidRPr="00BE1EBA">
        <w:t>AMA peut suspendre ou annuler l</w:t>
      </w:r>
      <w:r w:rsidR="00812400" w:rsidRPr="00BE1EBA">
        <w:t>’</w:t>
      </w:r>
      <w:r w:rsidRPr="00BE1EBA">
        <w:t>AMA si le fournisseur ne répond pas lorsque l</w:t>
      </w:r>
      <w:r w:rsidR="00812400" w:rsidRPr="00BE1EBA">
        <w:t>’</w:t>
      </w:r>
      <w:r w:rsidRPr="00BE1EBA">
        <w:t>occasion de modifier les prix lui est donnée.</w:t>
      </w:r>
    </w:p>
    <w:p w:rsidR="00424033" w:rsidRPr="00BE1EBA" w:rsidRDefault="00424033" w:rsidP="00424033">
      <w:pPr>
        <w:pStyle w:val="DefaultText11"/>
        <w:shd w:val="clear" w:color="000000" w:fill="FFFFFF"/>
      </w:pPr>
      <w:r w:rsidRPr="00BE1EBA">
        <w:t>c)</w:t>
      </w:r>
      <w:r w:rsidRPr="00BE1EBA">
        <w:tab/>
        <w:t>Fabricant et séries – Possibilité de modification</w:t>
      </w:r>
    </w:p>
    <w:p w:rsidR="00424033" w:rsidRPr="00BE1EBA" w:rsidRDefault="00424033" w:rsidP="00424033">
      <w:pPr>
        <w:pStyle w:val="DefaultText11"/>
        <w:shd w:val="clear" w:color="000000" w:fill="FFFFFF"/>
      </w:pPr>
      <w:r w:rsidRPr="00BE1EBA">
        <w:t>Dans le cadre de la possibilité de modification du fabricant et des séries, lorsqu</w:t>
      </w:r>
      <w:r w:rsidR="00812400" w:rsidRPr="00BE1EBA">
        <w:t>’</w:t>
      </w:r>
      <w:r w:rsidRPr="00BE1EBA">
        <w:t>un fournisseur existant décide de supprimer ou de remplacer ses offres de produits en raison d</w:t>
      </w:r>
      <w:r w:rsidR="00812400" w:rsidRPr="00BE1EBA">
        <w:t>’</w:t>
      </w:r>
      <w:r w:rsidRPr="00BE1EBA">
        <w:t>un changement de fabricant ou de modifications apportées aux séries de produits, le fournisseur doit en aviser le responsable de l</w:t>
      </w:r>
      <w:r w:rsidR="00812400" w:rsidRPr="00BE1EBA">
        <w:t>’</w:t>
      </w:r>
      <w:r w:rsidRPr="00BE1EBA">
        <w:t>AMA par écrit</w:t>
      </w:r>
      <w:r w:rsidR="00EF7715" w:rsidRPr="00BE1EBA">
        <w:t xml:space="preserve">. </w:t>
      </w:r>
      <w:r w:rsidRPr="00BE1EBA">
        <w:t>Toutes les modifications doivent satisfaire aux exigences visées par la DAMA</w:t>
      </w:r>
      <w:r w:rsidR="00EF7715" w:rsidRPr="00BE1EBA">
        <w:t xml:space="preserve">. </w:t>
      </w:r>
      <w:r w:rsidRPr="00BE1EBA">
        <w:t>La présente possibilité de modification sera offerte périodiquement et coïncidera avec la possibilité de modification de prix plafond ou de taux maximum.</w:t>
      </w:r>
    </w:p>
    <w:p w:rsidR="00640D4B" w:rsidRPr="00BE1EBA" w:rsidRDefault="00640D4B" w:rsidP="00640D4B">
      <w:r w:rsidRPr="00BE1EBA">
        <w:t>Article 12 – Modifications du document 2020, Conditions générales – arrangements en matière d</w:t>
      </w:r>
      <w:r w:rsidR="00812400" w:rsidRPr="00BE1EBA">
        <w:t>’</w:t>
      </w:r>
      <w:r w:rsidRPr="00BE1EBA">
        <w:t>approvisionnement – biens ou services : Le Canada se réserve, par ailleurs, le droit de modifier l</w:t>
      </w:r>
      <w:r w:rsidR="00812400" w:rsidRPr="00BE1EBA">
        <w:t>’</w:t>
      </w:r>
      <w:r w:rsidRPr="00BE1EBA">
        <w:t xml:space="preserve">AMA en ajoutant ce qui suit : </w:t>
      </w:r>
    </w:p>
    <w:p w:rsidR="00640D4B" w:rsidRPr="00BE1EBA" w:rsidRDefault="00640D4B" w:rsidP="00640D4B">
      <w:pPr>
        <w:pStyle w:val="PlainText"/>
        <w:rPr>
          <w:rFonts w:ascii="Arial" w:eastAsiaTheme="minorHAnsi" w:hAnsi="Arial"/>
          <w:color w:val="000000" w:themeColor="text1"/>
          <w:sz w:val="20"/>
          <w:szCs w:val="20"/>
        </w:rPr>
      </w:pPr>
      <w:r w:rsidRPr="00BE1EBA">
        <w:rPr>
          <w:rFonts w:ascii="Arial" w:hAnsi="Arial"/>
          <w:color w:val="000000" w:themeColor="text1"/>
          <w:sz w:val="20"/>
        </w:rPr>
        <w:t>3. Le fournisseur convient également</w:t>
      </w:r>
      <w:r w:rsidRPr="00BE1EBA">
        <w:rPr>
          <w:rFonts w:ascii="Arial" w:hAnsi="Arial"/>
          <w:b/>
          <w:i/>
          <w:color w:val="000000" w:themeColor="text1"/>
          <w:sz w:val="20"/>
        </w:rPr>
        <w:t xml:space="preserve"> </w:t>
      </w:r>
      <w:r w:rsidRPr="00BE1EBA">
        <w:rPr>
          <w:rFonts w:ascii="Arial" w:hAnsi="Arial"/>
          <w:color w:val="000000" w:themeColor="text1"/>
          <w:sz w:val="20"/>
        </w:rPr>
        <w:t>que le Canada a le droit de divulguer à des fournisseurs de services sous contrat avec le gouvernement du Canada les renseignements contenus dans l</w:t>
      </w:r>
      <w:r w:rsidR="00812400" w:rsidRPr="00BE1EBA">
        <w:rPr>
          <w:rFonts w:ascii="Arial" w:hAnsi="Arial"/>
          <w:color w:val="000000" w:themeColor="text1"/>
          <w:sz w:val="20"/>
        </w:rPr>
        <w:t>’</w:t>
      </w:r>
      <w:r w:rsidRPr="00BE1EBA">
        <w:rPr>
          <w:rFonts w:ascii="Arial" w:hAnsi="Arial"/>
          <w:color w:val="000000" w:themeColor="text1"/>
          <w:sz w:val="20"/>
        </w:rPr>
        <w:t>AMA du fournisseur ou dans tout contrat subséquent. S</w:t>
      </w:r>
      <w:r w:rsidR="00812400" w:rsidRPr="00BE1EBA">
        <w:rPr>
          <w:rFonts w:ascii="Arial" w:hAnsi="Arial"/>
          <w:color w:val="000000" w:themeColor="text1"/>
          <w:sz w:val="20"/>
        </w:rPr>
        <w:t>’</w:t>
      </w:r>
      <w:r w:rsidRPr="00BE1EBA">
        <w:rPr>
          <w:rFonts w:ascii="Arial" w:hAnsi="Arial"/>
          <w:color w:val="000000" w:themeColor="text1"/>
          <w:sz w:val="20"/>
        </w:rPr>
        <w:t>il le juge opportun, le Canada doit signer une entente de confidentialité avec le ou les fournisseurs de service ayant obtenu l</w:t>
      </w:r>
      <w:r w:rsidR="00812400" w:rsidRPr="00BE1EBA">
        <w:rPr>
          <w:rFonts w:ascii="Arial" w:hAnsi="Arial"/>
          <w:color w:val="000000" w:themeColor="text1"/>
          <w:sz w:val="20"/>
        </w:rPr>
        <w:t>’</w:t>
      </w:r>
      <w:r w:rsidRPr="00BE1EBA">
        <w:rPr>
          <w:rFonts w:ascii="Arial" w:hAnsi="Arial"/>
          <w:color w:val="000000" w:themeColor="text1"/>
          <w:sz w:val="20"/>
        </w:rPr>
        <w:t>accès aux renseignements relatifs à la soumission ou au contrat subséquent.</w:t>
      </w:r>
    </w:p>
    <w:p w:rsidR="00B24B16" w:rsidRPr="00BE1EBA" w:rsidRDefault="003E317D">
      <w:pPr>
        <w:pStyle w:val="DefaultText"/>
        <w:ind w:left="720" w:hanging="720"/>
      </w:pPr>
      <w:r w:rsidRPr="00BE1EBA">
        <w:rPr>
          <w:b/>
        </w:rPr>
        <w:t>6A.3.2</w:t>
      </w:r>
      <w:r w:rsidRPr="00BE1EBA">
        <w:tab/>
      </w:r>
      <w:r w:rsidRPr="00BE1EBA">
        <w:rPr>
          <w:b/>
        </w:rPr>
        <w:t>Arrangement en matière d</w:t>
      </w:r>
      <w:r w:rsidR="00812400" w:rsidRPr="00BE1EBA">
        <w:rPr>
          <w:b/>
        </w:rPr>
        <w:t>’</w:t>
      </w:r>
      <w:r w:rsidRPr="00BE1EBA">
        <w:rPr>
          <w:b/>
        </w:rPr>
        <w:t>approvisionnement</w:t>
      </w:r>
      <w:r w:rsidR="002A6210" w:rsidRPr="00BE1EBA">
        <w:rPr>
          <w:b/>
        </w:rPr>
        <w:t xml:space="preserve"> – </w:t>
      </w:r>
      <w:r w:rsidRPr="00BE1EBA">
        <w:rPr>
          <w:b/>
        </w:rPr>
        <w:t>établissement des rapports</w:t>
      </w:r>
    </w:p>
    <w:p w:rsidR="00943D0A" w:rsidRPr="00BE1EBA" w:rsidRDefault="00943D0A" w:rsidP="00943D0A">
      <w:r w:rsidRPr="00BE1EBA">
        <w:t>Le fournisseur doit compiler et tenir à jour des données sur les biens, les services ou les deux fournis au gouvernement fédéral en vertu de contrats découlant de l</w:t>
      </w:r>
      <w:r w:rsidR="00812400" w:rsidRPr="00BE1EBA">
        <w:t>’</w:t>
      </w:r>
      <w:r w:rsidRPr="00BE1EBA">
        <w:t>arrangement en matière d</w:t>
      </w:r>
      <w:r w:rsidR="00812400" w:rsidRPr="00BE1EBA">
        <w:t>’</w:t>
      </w:r>
      <w:r w:rsidRPr="00BE1EBA">
        <w:t>approvisionnement. Ces données doivent comprendre tous les achats, incluant ceux payés au moyen d</w:t>
      </w:r>
      <w:r w:rsidR="00812400" w:rsidRPr="00BE1EBA">
        <w:t>’</w:t>
      </w:r>
      <w:r w:rsidRPr="00BE1EBA">
        <w:t>une carte d</w:t>
      </w:r>
      <w:r w:rsidR="00812400" w:rsidRPr="00BE1EBA">
        <w:t>’</w:t>
      </w:r>
      <w:r w:rsidRPr="00BE1EBA">
        <w:t>achat du gouvernement du Canada.</w:t>
      </w:r>
    </w:p>
    <w:p w:rsidR="00943D0A" w:rsidRPr="00BE1EBA" w:rsidRDefault="00943D0A" w:rsidP="00943D0A">
      <w:r w:rsidRPr="00BE1EBA">
        <w:t>Le fournisseur doit fournir ces données conformément aux exigences en matière d</w:t>
      </w:r>
      <w:r w:rsidR="00812400" w:rsidRPr="00BE1EBA">
        <w:t>’</w:t>
      </w:r>
      <w:r w:rsidRPr="00BE1EBA">
        <w:t>établissement de rapports décrites à l</w:t>
      </w:r>
      <w:r w:rsidR="00812400" w:rsidRPr="00BE1EBA">
        <w:t>’</w:t>
      </w:r>
      <w:r w:rsidRPr="00BE1EBA">
        <w:t>annexe C. Si certaines données ne sont pas disponibles, la raison doit être indiquée dans le rapport. Si aucun bien ou service n</w:t>
      </w:r>
      <w:r w:rsidR="00812400" w:rsidRPr="00BE1EBA">
        <w:t>’</w:t>
      </w:r>
      <w:r w:rsidRPr="00BE1EBA">
        <w:t>a été fourni pendant une période donnée, le fournisseur doit soumettre un rapport portant la mention « NÉANT ».</w:t>
      </w:r>
    </w:p>
    <w:p w:rsidR="00943D0A" w:rsidRPr="00BE1EBA" w:rsidRDefault="00943D0A" w:rsidP="00943D0A">
      <w:r w:rsidRPr="00BE1EBA">
        <w:t>Les données doivent être présentées tous les quinze (15) jours civils au responsable des arrangements en matière d</w:t>
      </w:r>
      <w:r w:rsidR="00812400" w:rsidRPr="00BE1EBA">
        <w:t>’</w:t>
      </w:r>
      <w:r w:rsidRPr="00BE1EBA">
        <w:t>approvisionnements.</w:t>
      </w:r>
    </w:p>
    <w:p w:rsidR="00943D0A" w:rsidRPr="00BE1EBA" w:rsidRDefault="00943D0A" w:rsidP="00943D0A">
      <w:r w:rsidRPr="00BE1EBA">
        <w:t>(Si une autre période de référence est utilisée, supprimer la répartition des trimestres indiquée ci</w:t>
      </w:r>
      <w:r w:rsidR="003262E1" w:rsidRPr="00BE1EBA">
        <w:t>­</w:t>
      </w:r>
      <w:r w:rsidRPr="00BE1EBA">
        <w:t>dessous et définir la période de référence appropriée.)</w:t>
      </w:r>
    </w:p>
    <w:p w:rsidR="00943D0A" w:rsidRPr="00BE1EBA" w:rsidRDefault="00943D0A" w:rsidP="00943D0A">
      <w:r w:rsidRPr="00BE1EBA">
        <w:t>Voici la répartition des trimestres :</w:t>
      </w:r>
    </w:p>
    <w:p w:rsidR="00943D0A" w:rsidRPr="00BE1EBA" w:rsidRDefault="00943D0A" w:rsidP="0012323E">
      <w:pPr>
        <w:ind w:left="567"/>
      </w:pPr>
      <w:r w:rsidRPr="00BE1EBA">
        <w:t>Premier trimestre : du 1er avril au 30 juin;</w:t>
      </w:r>
    </w:p>
    <w:p w:rsidR="00943D0A" w:rsidRPr="00BE1EBA" w:rsidRDefault="00943D0A" w:rsidP="0012323E">
      <w:pPr>
        <w:ind w:left="567"/>
      </w:pPr>
      <w:r w:rsidRPr="00BE1EBA">
        <w:t>Deuxième trimestre : du 1er juillet au 30 septembre;</w:t>
      </w:r>
    </w:p>
    <w:p w:rsidR="00943D0A" w:rsidRPr="00BE1EBA" w:rsidRDefault="00943D0A" w:rsidP="0012323E">
      <w:pPr>
        <w:ind w:left="567"/>
      </w:pPr>
      <w:r w:rsidRPr="00BE1EBA">
        <w:t>Troisième trimestre : du 1er octobre au 31 décembre;</w:t>
      </w:r>
    </w:p>
    <w:p w:rsidR="00943D0A" w:rsidRPr="00BE1EBA" w:rsidRDefault="00943D0A" w:rsidP="0012323E">
      <w:pPr>
        <w:ind w:left="567"/>
      </w:pPr>
      <w:r w:rsidRPr="00BE1EBA">
        <w:t>Quatrième trimestre : du 1er janvier au 31 mars.</w:t>
      </w:r>
    </w:p>
    <w:p w:rsidR="00943D0A" w:rsidRPr="00BE1EBA" w:rsidRDefault="00943D0A" w:rsidP="00943D0A">
      <w:pPr>
        <w:rPr>
          <w:b/>
          <w:bCs/>
        </w:rPr>
      </w:pPr>
      <w:r w:rsidRPr="00BE1EBA">
        <w:t>Les données doivent être présentées au responsable des arrangements en matière d</w:t>
      </w:r>
      <w:r w:rsidR="00812400" w:rsidRPr="00BE1EBA">
        <w:t>’</w:t>
      </w:r>
      <w:r w:rsidRPr="00BE1EBA">
        <w:t xml:space="preserve">approvisionnement dans les quinze (15) jours civils suivant la fin de la période de référence. </w:t>
      </w:r>
    </w:p>
    <w:p w:rsidR="00B24B16" w:rsidRPr="00BE1EBA" w:rsidRDefault="00C65AE5" w:rsidP="00232778">
      <w:pPr>
        <w:pStyle w:val="ModlesEn-tte2"/>
      </w:pPr>
      <w:bookmarkStart w:id="41" w:name="_Toc413070279"/>
      <w:r w:rsidRPr="00BE1EBA">
        <w:t>6A.4</w:t>
      </w:r>
      <w:r w:rsidRPr="00BE1EBA">
        <w:tab/>
        <w:t>Durée de l</w:t>
      </w:r>
      <w:r w:rsidR="00812400" w:rsidRPr="00BE1EBA">
        <w:t>’</w:t>
      </w:r>
      <w:r w:rsidRPr="00BE1EBA">
        <w:t>arrangement en matière d</w:t>
      </w:r>
      <w:r w:rsidR="00812400" w:rsidRPr="00BE1EBA">
        <w:t>’</w:t>
      </w:r>
      <w:r w:rsidRPr="00BE1EBA">
        <w:t>approvisionnement</w:t>
      </w:r>
      <w:bookmarkEnd w:id="41"/>
    </w:p>
    <w:p w:rsidR="00943D0A" w:rsidRPr="00BE1EBA" w:rsidRDefault="00943D0A" w:rsidP="00943D0A">
      <w:pPr>
        <w:pStyle w:val="DefaultText"/>
      </w:pPr>
      <w:r w:rsidRPr="00BE1EBA">
        <w:t>L</w:t>
      </w:r>
      <w:r w:rsidR="00812400" w:rsidRPr="00BE1EBA">
        <w:t>’</w:t>
      </w:r>
      <w:r w:rsidRPr="00BE1EBA">
        <w:t>AMA n</w:t>
      </w:r>
      <w:r w:rsidR="00812400" w:rsidRPr="00BE1EBA">
        <w:t>’</w:t>
      </w:r>
      <w:r w:rsidRPr="00BE1EBA">
        <w:t>a pas de date de fin définie et restera valable jusqu</w:t>
      </w:r>
      <w:r w:rsidR="00812400" w:rsidRPr="00BE1EBA">
        <w:t>’</w:t>
      </w:r>
      <w:r w:rsidRPr="00BE1EBA">
        <w:t>à ce que le Canada considère qu</w:t>
      </w:r>
      <w:r w:rsidR="00812400" w:rsidRPr="00BE1EBA">
        <w:t>’</w:t>
      </w:r>
      <w:r w:rsidRPr="00BE1EBA">
        <w:t>il n</w:t>
      </w:r>
      <w:r w:rsidR="00812400" w:rsidRPr="00BE1EBA">
        <w:t>’</w:t>
      </w:r>
      <w:r w:rsidRPr="00BE1EBA">
        <w:t>est plus avantageux de l</w:t>
      </w:r>
      <w:r w:rsidR="00812400" w:rsidRPr="00BE1EBA">
        <w:t>’</w:t>
      </w:r>
      <w:r w:rsidRPr="00BE1EBA">
        <w:t>utiliser. La période d</w:t>
      </w:r>
      <w:r w:rsidR="00812400" w:rsidRPr="00BE1EBA">
        <w:t>’</w:t>
      </w:r>
      <w:r w:rsidRPr="00BE1EBA">
        <w:t>attribution de contrats au titre de l</w:t>
      </w:r>
      <w:r w:rsidR="00812400" w:rsidRPr="00BE1EBA">
        <w:t>’</w:t>
      </w:r>
      <w:r w:rsidRPr="00BE1EBA">
        <w:t>AMA commence à la date de publication de l</w:t>
      </w:r>
      <w:r w:rsidR="00812400" w:rsidRPr="00BE1EBA">
        <w:t>’</w:t>
      </w:r>
      <w:r w:rsidRPr="00BE1EBA">
        <w:t>AMA.</w:t>
      </w:r>
    </w:p>
    <w:p w:rsidR="00B24B16" w:rsidRPr="00BE1EBA" w:rsidRDefault="00C65AE5" w:rsidP="00232778">
      <w:pPr>
        <w:pStyle w:val="ModlesEn-tte2"/>
      </w:pPr>
      <w:bookmarkStart w:id="42" w:name="_Toc413070280"/>
      <w:r w:rsidRPr="00BE1EBA">
        <w:lastRenderedPageBreak/>
        <w:t>6A.5</w:t>
      </w:r>
      <w:r w:rsidRPr="00BE1EBA">
        <w:tab/>
        <w:t>Responsables</w:t>
      </w:r>
      <w:bookmarkEnd w:id="42"/>
    </w:p>
    <w:p w:rsidR="00B24B16" w:rsidRPr="00BE1EBA" w:rsidRDefault="00C65AE5" w:rsidP="00B85887">
      <w:pPr>
        <w:pStyle w:val="DefaultText"/>
        <w:keepNext/>
        <w:keepLines/>
        <w:rPr>
          <w:b/>
          <w:bCs/>
        </w:rPr>
      </w:pPr>
      <w:r w:rsidRPr="00BE1EBA">
        <w:rPr>
          <w:b/>
        </w:rPr>
        <w:t>6A.5.1</w:t>
      </w:r>
      <w:r w:rsidRPr="00BE1EBA">
        <w:tab/>
      </w:r>
      <w:r w:rsidRPr="00BE1EBA">
        <w:rPr>
          <w:b/>
        </w:rPr>
        <w:t>Responsable de l</w:t>
      </w:r>
      <w:r w:rsidR="00812400" w:rsidRPr="00BE1EBA">
        <w:rPr>
          <w:b/>
        </w:rPr>
        <w:t>’</w:t>
      </w:r>
      <w:r w:rsidRPr="00BE1EBA">
        <w:rPr>
          <w:b/>
        </w:rPr>
        <w:t>arrangement en matière d</w:t>
      </w:r>
      <w:r w:rsidR="00812400" w:rsidRPr="00BE1EBA">
        <w:rPr>
          <w:b/>
        </w:rPr>
        <w:t>’</w:t>
      </w:r>
      <w:r w:rsidRPr="00BE1EBA">
        <w:rPr>
          <w:b/>
        </w:rPr>
        <w:t>approvisionnement</w:t>
      </w:r>
    </w:p>
    <w:p w:rsidR="00B24B16" w:rsidRPr="00BE1EBA" w:rsidRDefault="00B24B16" w:rsidP="00B85887">
      <w:pPr>
        <w:keepNext/>
        <w:keepLines/>
      </w:pPr>
      <w:r w:rsidRPr="00BE1EBA">
        <w:t>Le responsable de l</w:t>
      </w:r>
      <w:r w:rsidR="00812400" w:rsidRPr="00BE1EBA">
        <w:t>’</w:t>
      </w:r>
      <w:r w:rsidRPr="00BE1EBA">
        <w:t>arrangement en matière d</w:t>
      </w:r>
      <w:r w:rsidR="00812400" w:rsidRPr="00BE1EBA">
        <w:t>’</w:t>
      </w:r>
      <w:r w:rsidRPr="00BE1EBA">
        <w:t>approvisionnement est :</w:t>
      </w:r>
    </w:p>
    <w:p w:rsidR="00B24B16" w:rsidRPr="00CE3EAB" w:rsidRDefault="00B24B16" w:rsidP="00B85887">
      <w:pPr>
        <w:keepNext/>
        <w:keepLines/>
        <w:rPr>
          <w:u w:val="single"/>
        </w:rPr>
      </w:pPr>
      <w:r w:rsidRPr="00BE1EBA">
        <w:t xml:space="preserve">Nom : </w:t>
      </w:r>
      <w:r w:rsidRPr="00BE1EBA">
        <w:tab/>
      </w:r>
      <w:r w:rsidRPr="00CE3EAB">
        <w:rPr>
          <w:u w:val="single"/>
        </w:rPr>
        <w:tab/>
      </w:r>
      <w:r w:rsidRPr="00CE3EAB">
        <w:rPr>
          <w:u w:val="single"/>
        </w:rPr>
        <w:tab/>
      </w:r>
      <w:r w:rsidRPr="00CE3EAB">
        <w:rPr>
          <w:u w:val="single"/>
        </w:rPr>
        <w:tab/>
      </w:r>
    </w:p>
    <w:p w:rsidR="00B24B16" w:rsidRPr="00CE3EAB" w:rsidRDefault="00B24B16" w:rsidP="00B85887">
      <w:pPr>
        <w:keepNext/>
        <w:keepLines/>
      </w:pPr>
      <w:r w:rsidRPr="00BE1EBA">
        <w:t>Titre :</w:t>
      </w:r>
      <w:r w:rsidRPr="00CE3EAB">
        <w:t xml:space="preserve"> </w:t>
      </w:r>
      <w:r w:rsidRPr="00CE3EAB">
        <w:rPr>
          <w:u w:val="single"/>
        </w:rPr>
        <w:tab/>
      </w:r>
      <w:r w:rsidRPr="00CE3EAB">
        <w:rPr>
          <w:u w:val="single"/>
        </w:rPr>
        <w:tab/>
      </w:r>
      <w:r w:rsidRPr="00CE3EAB">
        <w:rPr>
          <w:u w:val="single"/>
        </w:rPr>
        <w:tab/>
      </w:r>
      <w:r w:rsidRPr="00CE3EAB">
        <w:rPr>
          <w:u w:val="single"/>
        </w:rPr>
        <w:tab/>
      </w:r>
    </w:p>
    <w:p w:rsidR="00B24B16" w:rsidRPr="00BE1EBA" w:rsidRDefault="00B24B16" w:rsidP="00B85887">
      <w:pPr>
        <w:keepNext/>
        <w:keepLines/>
      </w:pPr>
      <w:r w:rsidRPr="00BE1EBA">
        <w:t>Travaux publics et Services gouvernementaux Canada</w:t>
      </w:r>
    </w:p>
    <w:p w:rsidR="00B24B16" w:rsidRPr="00BE1EBA" w:rsidRDefault="00B24B16" w:rsidP="00B85887">
      <w:pPr>
        <w:keepNext/>
        <w:keepLines/>
      </w:pPr>
      <w:r w:rsidRPr="00BE1EBA">
        <w:t>Direction générale des approvisionnements</w:t>
      </w:r>
    </w:p>
    <w:p w:rsidR="00B24B16" w:rsidRPr="00BE1EBA" w:rsidRDefault="00B24B16" w:rsidP="00AE5F56">
      <w:r w:rsidRPr="00BE1EBA">
        <w:t xml:space="preserve">Direction : </w:t>
      </w:r>
      <w:r w:rsidRPr="00CE3EAB">
        <w:rPr>
          <w:u w:val="single"/>
        </w:rPr>
        <w:tab/>
      </w:r>
      <w:r w:rsidRPr="00CE3EAB">
        <w:rPr>
          <w:u w:val="single"/>
        </w:rPr>
        <w:tab/>
      </w:r>
      <w:r w:rsidRPr="00CE3EAB">
        <w:rPr>
          <w:u w:val="single"/>
        </w:rPr>
        <w:tab/>
      </w:r>
      <w:r w:rsidRPr="00BE1EBA">
        <w:tab/>
      </w:r>
    </w:p>
    <w:p w:rsidR="00B24B16" w:rsidRPr="00BE1EBA" w:rsidRDefault="00B24B16" w:rsidP="00AE5F56">
      <w:r w:rsidRPr="00BE1EBA">
        <w:t xml:space="preserve">Adresse : </w:t>
      </w:r>
      <w:r w:rsidRPr="00CE3EAB">
        <w:rPr>
          <w:u w:val="single"/>
        </w:rPr>
        <w:tab/>
      </w:r>
      <w:r w:rsidRPr="00CE3EAB">
        <w:rPr>
          <w:u w:val="single"/>
        </w:rPr>
        <w:tab/>
      </w:r>
      <w:r w:rsidRPr="00CE3EAB">
        <w:rPr>
          <w:u w:val="single"/>
        </w:rPr>
        <w:tab/>
      </w:r>
      <w:r w:rsidRPr="00CE3EAB">
        <w:rPr>
          <w:u w:val="single"/>
        </w:rPr>
        <w:tab/>
      </w:r>
    </w:p>
    <w:p w:rsidR="00B24B16" w:rsidRPr="00BE1EBA" w:rsidRDefault="00B24B16" w:rsidP="00CE3EAB">
      <w:pPr>
        <w:ind w:left="1134" w:hanging="1134"/>
      </w:pPr>
      <w:r w:rsidRPr="00BE1EBA">
        <w:t xml:space="preserve">Téléphone : </w:t>
      </w:r>
      <w:r w:rsidR="00CE3EAB">
        <w:tab/>
      </w:r>
      <w:r w:rsidR="00CE3EAB">
        <w:rPr>
          <w:u w:val="single"/>
        </w:rPr>
        <w:tab/>
      </w:r>
      <w:r w:rsidR="00CE3EAB">
        <w:rPr>
          <w:u w:val="single"/>
        </w:rPr>
        <w:tab/>
      </w:r>
      <w:r w:rsidR="003262E1" w:rsidRPr="00CE3EAB">
        <w:t>­</w:t>
      </w:r>
      <w:r w:rsidR="00CE3EAB">
        <w:rPr>
          <w:u w:val="single"/>
        </w:rPr>
        <w:t xml:space="preserve"> </w:t>
      </w:r>
      <w:r w:rsidR="00CE3EAB">
        <w:rPr>
          <w:u w:val="single"/>
        </w:rPr>
        <w:tab/>
      </w:r>
      <w:r w:rsidR="003262E1" w:rsidRPr="00CE3EAB">
        <w:t>­</w:t>
      </w:r>
      <w:r w:rsidRPr="00CE3EAB">
        <w:t xml:space="preserve"> </w:t>
      </w:r>
      <w:r w:rsidRPr="00CE3EAB">
        <w:rPr>
          <w:u w:val="single"/>
        </w:rPr>
        <w:tab/>
      </w:r>
      <w:r w:rsidR="00CE3EAB">
        <w:rPr>
          <w:u w:val="single"/>
        </w:rPr>
        <w:tab/>
      </w:r>
      <w:r w:rsidRPr="00BE1EBA">
        <w:tab/>
      </w:r>
    </w:p>
    <w:p w:rsidR="00B24B16" w:rsidRPr="00BE1EBA" w:rsidRDefault="00B24B16" w:rsidP="00AE5F56">
      <w:r w:rsidRPr="00BE1EBA">
        <w:t>Télécopieur :</w:t>
      </w:r>
      <w:r w:rsidRPr="00CE3EAB">
        <w:t xml:space="preserve"> </w:t>
      </w:r>
      <w:r w:rsidR="00CE3EAB">
        <w:rPr>
          <w:u w:val="single"/>
        </w:rPr>
        <w:tab/>
      </w:r>
      <w:r w:rsidR="00CE3EAB">
        <w:rPr>
          <w:u w:val="single"/>
        </w:rPr>
        <w:tab/>
      </w:r>
      <w:r w:rsidR="00CE3EAB" w:rsidRPr="00CE3EAB">
        <w:t>­</w:t>
      </w:r>
      <w:r w:rsidR="00CE3EAB">
        <w:rPr>
          <w:u w:val="single"/>
        </w:rPr>
        <w:t xml:space="preserve"> </w:t>
      </w:r>
      <w:r w:rsidR="00CE3EAB">
        <w:rPr>
          <w:u w:val="single"/>
        </w:rPr>
        <w:tab/>
      </w:r>
      <w:r w:rsidR="00CE3EAB" w:rsidRPr="00CE3EAB">
        <w:t xml:space="preserve">­ </w:t>
      </w:r>
      <w:r w:rsidR="00CE3EAB" w:rsidRPr="00CE3EAB">
        <w:rPr>
          <w:u w:val="single"/>
        </w:rPr>
        <w:tab/>
      </w:r>
      <w:r w:rsidR="00CE3EAB">
        <w:rPr>
          <w:u w:val="single"/>
        </w:rPr>
        <w:tab/>
      </w:r>
    </w:p>
    <w:p w:rsidR="00B24B16" w:rsidRPr="00BE1EBA" w:rsidRDefault="00B24B16" w:rsidP="00AE5F56">
      <w:r w:rsidRPr="00BE1EBA">
        <w:t xml:space="preserve">Courriel : </w:t>
      </w:r>
      <w:r w:rsidRPr="00BE1EBA">
        <w:tab/>
      </w:r>
      <w:r w:rsidRPr="00BE1EBA">
        <w:tab/>
      </w:r>
      <w:r w:rsidRPr="00BE1EBA">
        <w:tab/>
      </w:r>
      <w:r w:rsidRPr="00BE1EBA">
        <w:tab/>
      </w:r>
      <w:r w:rsidRPr="00BE1EBA">
        <w:tab/>
      </w:r>
    </w:p>
    <w:p w:rsidR="00943D0A" w:rsidRPr="00BE1EBA" w:rsidRDefault="00943D0A" w:rsidP="00943D0A">
      <w:pPr>
        <w:spacing w:after="0"/>
        <w:rPr>
          <w:sz w:val="16"/>
          <w:szCs w:val="16"/>
        </w:rPr>
      </w:pPr>
    </w:p>
    <w:p w:rsidR="00B24B16" w:rsidRPr="00BE1EBA" w:rsidRDefault="00B24B16">
      <w:pPr>
        <w:pStyle w:val="DefaultText"/>
      </w:pPr>
      <w:r w:rsidRPr="00BE1EBA">
        <w:t>Le responsable de l</w:t>
      </w:r>
      <w:r w:rsidR="00812400" w:rsidRPr="00BE1EBA">
        <w:t>’</w:t>
      </w:r>
      <w:r w:rsidRPr="00BE1EBA">
        <w:t>arrangement en matière d</w:t>
      </w:r>
      <w:r w:rsidR="00812400" w:rsidRPr="00BE1EBA">
        <w:t>’</w:t>
      </w:r>
      <w:r w:rsidRPr="00BE1EBA">
        <w:t>approvisionnement est responsable de l</w:t>
      </w:r>
      <w:r w:rsidR="00812400" w:rsidRPr="00BE1EBA">
        <w:t>’</w:t>
      </w:r>
      <w:r w:rsidRPr="00BE1EBA">
        <w:t>émission de l</w:t>
      </w:r>
      <w:r w:rsidR="00812400" w:rsidRPr="00BE1EBA">
        <w:t>’</w:t>
      </w:r>
      <w:r w:rsidRPr="00BE1EBA">
        <w:t>arrangement en matière d</w:t>
      </w:r>
      <w:r w:rsidR="00812400" w:rsidRPr="00BE1EBA">
        <w:t>’</w:t>
      </w:r>
      <w:r w:rsidRPr="00BE1EBA">
        <w:t>approvisionnement, de son administration et de sa révision, s</w:t>
      </w:r>
      <w:r w:rsidR="00812400" w:rsidRPr="00BE1EBA">
        <w:t>’</w:t>
      </w:r>
      <w:r w:rsidRPr="00BE1EBA">
        <w:t>il y a lieu.</w:t>
      </w:r>
    </w:p>
    <w:p w:rsidR="00B24B16" w:rsidRPr="00BE1EBA" w:rsidRDefault="00C65AE5" w:rsidP="005F083B">
      <w:pPr>
        <w:pStyle w:val="ModlesEn-tte3"/>
      </w:pPr>
      <w:bookmarkStart w:id="43" w:name="_Toc412634780"/>
      <w:r w:rsidRPr="00BE1EBA">
        <w:t>6A.5.2</w:t>
      </w:r>
      <w:r w:rsidRPr="00BE1EBA">
        <w:tab/>
        <w:t>Représentant du fournisseur</w:t>
      </w:r>
      <w:bookmarkEnd w:id="43"/>
    </w:p>
    <w:p w:rsidR="003E317D" w:rsidRPr="00BE1EBA" w:rsidRDefault="003E317D" w:rsidP="003E317D">
      <w:r w:rsidRPr="00BE1EBA">
        <w:t>Voir la section 12 de la partie 6A</w:t>
      </w:r>
    </w:p>
    <w:p w:rsidR="00213E15" w:rsidRPr="00BE1EBA" w:rsidRDefault="00B24B16" w:rsidP="00232778">
      <w:pPr>
        <w:pStyle w:val="ModlesEn-tte2"/>
      </w:pPr>
      <w:bookmarkStart w:id="44" w:name="_Toc413070281"/>
      <w:r w:rsidRPr="00BE1EBA">
        <w:t>6A.6</w:t>
      </w:r>
      <w:r w:rsidRPr="00BE1EBA">
        <w:tab/>
        <w:t>Utilisateurs désignés</w:t>
      </w:r>
      <w:bookmarkEnd w:id="44"/>
    </w:p>
    <w:p w:rsidR="00B24B16" w:rsidRPr="00BE1EBA" w:rsidRDefault="00B24B16">
      <w:pPr>
        <w:pStyle w:val="DefaultText"/>
      </w:pPr>
      <w:r w:rsidRPr="00BE1EBA">
        <w:t>Les utilisateurs désignés comprennent les ministères fédéraux, organismes ou sociétés d</w:t>
      </w:r>
      <w:r w:rsidR="00812400" w:rsidRPr="00BE1EBA">
        <w:t>’</w:t>
      </w:r>
      <w:r w:rsidRPr="00BE1EBA">
        <w:t xml:space="preserve">État mentionnés dans les annexes I, I.1, II, III de la </w:t>
      </w:r>
      <w:hyperlink r:id="rId16" w:history="1">
        <w:r w:rsidRPr="00BE1EBA">
          <w:rPr>
            <w:rStyle w:val="ViewedAnchorA"/>
            <w:i/>
          </w:rPr>
          <w:t>Loi sur la gestion des finances publiques</w:t>
        </w:r>
      </w:hyperlink>
      <w:r w:rsidR="004949DA" w:rsidRPr="00BE1EBA">
        <w:t>, L.R. (1985), ch. </w:t>
      </w:r>
      <w:r w:rsidRPr="00BE1EBA">
        <w:t>F</w:t>
      </w:r>
      <w:r w:rsidR="003262E1" w:rsidRPr="00BE1EBA">
        <w:t>­</w:t>
      </w:r>
      <w:r w:rsidRPr="00BE1EBA">
        <w:t>11.</w:t>
      </w:r>
    </w:p>
    <w:p w:rsidR="00B24B16" w:rsidRPr="00BE1EBA" w:rsidRDefault="00C65AE5" w:rsidP="00232778">
      <w:pPr>
        <w:pStyle w:val="ModlesEn-tte2"/>
      </w:pPr>
      <w:bookmarkStart w:id="45" w:name="_Toc413070282"/>
      <w:r w:rsidRPr="00BE1EBA">
        <w:t>6A.7</w:t>
      </w:r>
      <w:r w:rsidRPr="00BE1EBA">
        <w:tab/>
        <w:t>Occasion de qualification continue</w:t>
      </w:r>
      <w:bookmarkEnd w:id="45"/>
    </w:p>
    <w:p w:rsidR="00B13466" w:rsidRPr="00BE1EBA" w:rsidRDefault="00B13466" w:rsidP="00B13466">
      <w:pPr>
        <w:rPr>
          <w:color w:val="000000" w:themeColor="text1"/>
        </w:rPr>
      </w:pPr>
      <w:r w:rsidRPr="00BE1EBA">
        <w:rPr>
          <w:color w:val="000000" w:themeColor="text1"/>
        </w:rPr>
        <w:t>Conformément à l</w:t>
      </w:r>
      <w:r w:rsidR="00812400" w:rsidRPr="00BE1EBA">
        <w:rPr>
          <w:color w:val="000000" w:themeColor="text1"/>
        </w:rPr>
        <w:t>’</w:t>
      </w:r>
      <w:r w:rsidRPr="00BE1EBA">
        <w:rPr>
          <w:color w:val="000000" w:themeColor="text1"/>
        </w:rPr>
        <w:t>article 7 du document 2020, Conditions générales, le Canada a l</w:t>
      </w:r>
      <w:r w:rsidR="00812400" w:rsidRPr="00BE1EBA">
        <w:rPr>
          <w:color w:val="000000" w:themeColor="text1"/>
        </w:rPr>
        <w:t>’</w:t>
      </w:r>
      <w:r w:rsidRPr="00BE1EBA">
        <w:rPr>
          <w:color w:val="000000" w:themeColor="text1"/>
        </w:rPr>
        <w:t>intention de publier l</w:t>
      </w:r>
      <w:r w:rsidR="00812400" w:rsidRPr="00BE1EBA">
        <w:rPr>
          <w:color w:val="000000" w:themeColor="text1"/>
        </w:rPr>
        <w:t>’</w:t>
      </w:r>
      <w:r w:rsidRPr="00BE1EBA">
        <w:t xml:space="preserve">avis de projet de marché et la </w:t>
      </w:r>
      <w:r w:rsidRPr="00BE1EBA">
        <w:rPr>
          <w:color w:val="000000" w:themeColor="text1"/>
        </w:rPr>
        <w:t xml:space="preserve">DAMA </w:t>
      </w:r>
      <w:r w:rsidRPr="00BE1EBA">
        <w:t>sur le Service électronique d</w:t>
      </w:r>
      <w:r w:rsidR="00812400" w:rsidRPr="00BE1EBA">
        <w:t>’</w:t>
      </w:r>
      <w:r w:rsidRPr="00BE1EBA">
        <w:t>appels d</w:t>
      </w:r>
      <w:r w:rsidR="00812400" w:rsidRPr="00BE1EBA">
        <w:t>’</w:t>
      </w:r>
      <w:r w:rsidRPr="00BE1EBA">
        <w:t xml:space="preserve">offres du gouvernement (SEAOG) </w:t>
      </w:r>
      <w:r w:rsidRPr="00BE1EBA">
        <w:rPr>
          <w:color w:val="000000" w:themeColor="text1"/>
        </w:rPr>
        <w:t>pendant environ un mois tous les 11 mois (la date sera ajoutée lors de l</w:t>
      </w:r>
      <w:r w:rsidR="00812400" w:rsidRPr="00BE1EBA">
        <w:rPr>
          <w:color w:val="000000" w:themeColor="text1"/>
        </w:rPr>
        <w:t>’</w:t>
      </w:r>
      <w:r w:rsidRPr="00BE1EBA">
        <w:rPr>
          <w:color w:val="000000" w:themeColor="text1"/>
        </w:rPr>
        <w:t>attribution de l</w:t>
      </w:r>
      <w:r w:rsidR="00812400" w:rsidRPr="00BE1EBA">
        <w:rPr>
          <w:color w:val="000000" w:themeColor="text1"/>
        </w:rPr>
        <w:t>’</w:t>
      </w:r>
      <w:r w:rsidRPr="00BE1EBA">
        <w:rPr>
          <w:color w:val="000000" w:themeColor="text1"/>
        </w:rPr>
        <w:t xml:space="preserve">AMA) </w:t>
      </w:r>
      <w:r w:rsidRPr="00BE1EBA">
        <w:t>afin de permettre aux fournisseurs de se qualifier</w:t>
      </w:r>
      <w:r w:rsidRPr="00BE1EBA">
        <w:rPr>
          <w:color w:val="000000" w:themeColor="text1"/>
        </w:rPr>
        <w:t xml:space="preserve"> ou de permettre aux fournisseurs préqualifiés de se qualifier pour les besoins pour lesquels ils ne sont pas déjà qualifiés</w:t>
      </w:r>
      <w:r w:rsidR="00EF7715" w:rsidRPr="00BE1EBA">
        <w:rPr>
          <w:color w:val="000000" w:themeColor="text1"/>
        </w:rPr>
        <w:t>.</w:t>
      </w:r>
      <w:r w:rsidR="002A6210" w:rsidRPr="00BE1EBA">
        <w:rPr>
          <w:color w:val="000000" w:themeColor="text1"/>
        </w:rPr>
        <w:t xml:space="preserve"> </w:t>
      </w:r>
    </w:p>
    <w:p w:rsidR="00B13466" w:rsidRPr="00BE1EBA" w:rsidRDefault="00B13466" w:rsidP="00B13466">
      <w:r w:rsidRPr="00BE1EBA">
        <w:t>Les fournisseurs auxquels un AMA a été attribué ne seront pas tenus de présenter un nouvel arrangement</w:t>
      </w:r>
      <w:r w:rsidR="00EF7715" w:rsidRPr="00BE1EBA">
        <w:t xml:space="preserve">. </w:t>
      </w:r>
    </w:p>
    <w:p w:rsidR="00B24B16" w:rsidRPr="00BE1EBA" w:rsidRDefault="00C65AE5" w:rsidP="00232778">
      <w:pPr>
        <w:pStyle w:val="ModlesEn-tte2"/>
      </w:pPr>
      <w:bookmarkStart w:id="46" w:name="_Toc413070283"/>
      <w:r w:rsidRPr="00BE1EBA">
        <w:t>6A.8</w:t>
      </w:r>
      <w:r w:rsidRPr="00BE1EBA">
        <w:tab/>
        <w:t>Ordre de priorité des documents</w:t>
      </w:r>
      <w:bookmarkEnd w:id="46"/>
    </w:p>
    <w:p w:rsidR="00B24B16" w:rsidRPr="00BE1EBA" w:rsidRDefault="00B24B16">
      <w:pPr>
        <w:pStyle w:val="DefaultText"/>
      </w:pPr>
      <w:r w:rsidRPr="00BE1EBA">
        <w:t>En cas d</w:t>
      </w:r>
      <w:r w:rsidR="00812400" w:rsidRPr="00BE1EBA">
        <w:t>’</w:t>
      </w:r>
      <w:r w:rsidRPr="00BE1EBA">
        <w:t>incompatibilité entre le libellé des textes énumérés dans la liste, c</w:t>
      </w:r>
      <w:r w:rsidR="00812400" w:rsidRPr="00BE1EBA">
        <w:t>’</w:t>
      </w:r>
      <w:r w:rsidRPr="00BE1EBA">
        <w:t>est le libellé du document qui apparaît en premier sur la liste qui l</w:t>
      </w:r>
      <w:r w:rsidR="00812400" w:rsidRPr="00BE1EBA">
        <w:t>’</w:t>
      </w:r>
      <w:r w:rsidRPr="00BE1EBA">
        <w:t>emporte sur celui de tout autre document qui figure plus bas sur la liste.</w:t>
      </w:r>
    </w:p>
    <w:p w:rsidR="00B24B16" w:rsidRPr="00BE1EBA" w:rsidRDefault="00B24B16" w:rsidP="00114F09">
      <w:pPr>
        <w:spacing w:after="80"/>
        <w:ind w:left="567" w:hanging="567"/>
      </w:pPr>
      <w:r w:rsidRPr="00BE1EBA">
        <w:t xml:space="preserve">a) </w:t>
      </w:r>
      <w:r w:rsidRPr="00BE1EBA">
        <w:tab/>
        <w:t>les articles de l</w:t>
      </w:r>
      <w:r w:rsidR="00812400" w:rsidRPr="00BE1EBA">
        <w:t>’</w:t>
      </w:r>
      <w:r w:rsidRPr="00BE1EBA">
        <w:t>arrangement en matière d</w:t>
      </w:r>
      <w:r w:rsidR="00812400" w:rsidRPr="00BE1EBA">
        <w:t>’</w:t>
      </w:r>
      <w:r w:rsidRPr="00BE1EBA">
        <w:t>approvisionnement;</w:t>
      </w:r>
    </w:p>
    <w:p w:rsidR="00B24B16" w:rsidRPr="00BE1EBA" w:rsidRDefault="00B24B16" w:rsidP="00114F09">
      <w:pPr>
        <w:spacing w:after="80"/>
        <w:ind w:left="567" w:hanging="567"/>
      </w:pPr>
      <w:r w:rsidRPr="00BE1EBA">
        <w:t>b)</w:t>
      </w:r>
      <w:r w:rsidRPr="00BE1EBA">
        <w:tab/>
        <w:t xml:space="preserve">les conditions générales </w:t>
      </w:r>
      <w:hyperlink r:id="rId17" w:history="1">
        <w:r w:rsidRPr="00BE1EBA">
          <w:rPr>
            <w:rStyle w:val="Hyperlink"/>
          </w:rPr>
          <w:t>2020</w:t>
        </w:r>
      </w:hyperlink>
      <w:r w:rsidRPr="00BE1EBA">
        <w:t xml:space="preserve"> (2014</w:t>
      </w:r>
      <w:r w:rsidR="003262E1" w:rsidRPr="00BE1EBA">
        <w:t>­</w:t>
      </w:r>
      <w:r w:rsidRPr="00BE1EBA">
        <w:t>09</w:t>
      </w:r>
      <w:r w:rsidR="003262E1" w:rsidRPr="00BE1EBA">
        <w:t>­</w:t>
      </w:r>
      <w:r w:rsidRPr="00BE1EBA">
        <w:t>25),</w:t>
      </w:r>
      <w:r w:rsidRPr="00BE1EBA">
        <w:rPr>
          <w:color w:val="FF0000"/>
        </w:rPr>
        <w:t xml:space="preserve"> </w:t>
      </w:r>
      <w:r w:rsidRPr="00BE1EBA">
        <w:t>Conditions générales</w:t>
      </w:r>
      <w:r w:rsidR="002A6210" w:rsidRPr="00BE1EBA">
        <w:t xml:space="preserve"> – </w:t>
      </w:r>
      <w:r w:rsidRPr="00BE1EBA">
        <w:t>arrangement en matière d</w:t>
      </w:r>
      <w:r w:rsidR="00812400" w:rsidRPr="00BE1EBA">
        <w:t>’</w:t>
      </w:r>
      <w:r w:rsidRPr="00BE1EBA">
        <w:t>approvisionnement</w:t>
      </w:r>
      <w:r w:rsidR="002A6210" w:rsidRPr="00BE1EBA">
        <w:t xml:space="preserve"> – </w:t>
      </w:r>
      <w:r w:rsidRPr="00BE1EBA">
        <w:t>biens ou services</w:t>
      </w:r>
    </w:p>
    <w:p w:rsidR="00B24B16" w:rsidRPr="00BE1EBA" w:rsidRDefault="00B24B16" w:rsidP="00114F09">
      <w:pPr>
        <w:spacing w:after="80"/>
        <w:ind w:left="567" w:hanging="567"/>
      </w:pPr>
      <w:r w:rsidRPr="00BE1EBA">
        <w:t xml:space="preserve">c) </w:t>
      </w:r>
      <w:r w:rsidRPr="00BE1EBA">
        <w:tab/>
        <w:t>Annexe A, Besoin;</w:t>
      </w:r>
    </w:p>
    <w:p w:rsidR="00B24B16" w:rsidRPr="00BE1EBA" w:rsidRDefault="00B24B16" w:rsidP="00114F09">
      <w:pPr>
        <w:spacing w:after="80"/>
        <w:ind w:left="567" w:hanging="567"/>
      </w:pPr>
      <w:r w:rsidRPr="00BE1EBA">
        <w:t xml:space="preserve">d) </w:t>
      </w:r>
      <w:r w:rsidRPr="00BE1EBA">
        <w:tab/>
        <w:t>Ann</w:t>
      </w:r>
      <w:r w:rsidR="00676780">
        <w:t xml:space="preserve">exe B, </w:t>
      </w:r>
      <w:r w:rsidR="00676780" w:rsidRPr="00676780">
        <w:t>Catalogue des produits et services destiné</w:t>
      </w:r>
      <w:r w:rsidR="00676780">
        <w:t>s aux postes de travail et prix</w:t>
      </w:r>
      <w:r w:rsidRPr="00BE1EBA">
        <w:t>;</w:t>
      </w:r>
    </w:p>
    <w:p w:rsidR="006210F6" w:rsidRPr="00BE1EBA" w:rsidRDefault="006210F6" w:rsidP="00114F09">
      <w:pPr>
        <w:spacing w:after="80"/>
        <w:ind w:left="567" w:hanging="567"/>
      </w:pPr>
      <w:r w:rsidRPr="00BE1EBA">
        <w:t>e)</w:t>
      </w:r>
      <w:r w:rsidRPr="00BE1EBA">
        <w:tab/>
        <w:t>Annexe C, Arrangements en matière d</w:t>
      </w:r>
      <w:r w:rsidR="00812400" w:rsidRPr="00BE1EBA">
        <w:t>’</w:t>
      </w:r>
      <w:r w:rsidRPr="00BE1EBA">
        <w:t>approvisionnement</w:t>
      </w:r>
      <w:r w:rsidR="002A6210" w:rsidRPr="00BE1EBA">
        <w:t xml:space="preserve"> – </w:t>
      </w:r>
      <w:r w:rsidRPr="00BE1EBA">
        <w:t>établissement de rapports</w:t>
      </w:r>
      <w:r w:rsidR="00114F09">
        <w:t>;</w:t>
      </w:r>
    </w:p>
    <w:p w:rsidR="006210F6" w:rsidRPr="00BE1EBA" w:rsidRDefault="006210F6" w:rsidP="00114F09">
      <w:pPr>
        <w:spacing w:after="80"/>
        <w:ind w:left="567" w:hanging="567"/>
      </w:pPr>
      <w:r w:rsidRPr="00BE1EBA">
        <w:t>f)</w:t>
      </w:r>
      <w:r w:rsidRPr="00BE1EBA">
        <w:tab/>
        <w:t>Annexe D, Guide sur les modalités d</w:t>
      </w:r>
      <w:r w:rsidR="00812400" w:rsidRPr="00BE1EBA">
        <w:t>’</w:t>
      </w:r>
      <w:r w:rsidRPr="00BE1EBA">
        <w:t xml:space="preserve">aménagement des </w:t>
      </w:r>
      <w:r w:rsidR="00A77994" w:rsidRPr="00BE1EBA">
        <w:t>postes de travail</w:t>
      </w:r>
      <w:r w:rsidR="00114F09">
        <w:t>;</w:t>
      </w:r>
    </w:p>
    <w:p w:rsidR="006210F6" w:rsidRPr="00BE1EBA" w:rsidRDefault="006210F6" w:rsidP="00114F09">
      <w:pPr>
        <w:spacing w:after="80"/>
        <w:ind w:left="567" w:hanging="567"/>
      </w:pPr>
      <w:r w:rsidRPr="00BE1EBA">
        <w:t>g)</w:t>
      </w:r>
      <w:r w:rsidRPr="00BE1EBA">
        <w:tab/>
        <w:t>Annexe E, Modèle de demande de soumissions et de contrat subséquent</w:t>
      </w:r>
      <w:r w:rsidR="00114F09">
        <w:t>; et</w:t>
      </w:r>
    </w:p>
    <w:p w:rsidR="00B24B16" w:rsidRPr="00BE1EBA" w:rsidRDefault="00114F09" w:rsidP="00114F09">
      <w:pPr>
        <w:spacing w:after="80"/>
        <w:ind w:left="567" w:hanging="567"/>
      </w:pPr>
      <w:r>
        <w:t xml:space="preserve">e) </w:t>
      </w:r>
      <w:r>
        <w:tab/>
        <w:t>L</w:t>
      </w:r>
      <w:r w:rsidR="00812400" w:rsidRPr="00BE1EBA">
        <w:t>’</w:t>
      </w:r>
      <w:r w:rsidR="00B24B16" w:rsidRPr="00BE1EBA">
        <w:t>arrangement du fournisseur daté du ______________,</w:t>
      </w:r>
    </w:p>
    <w:p w:rsidR="00B24B16" w:rsidRPr="00BE1EBA" w:rsidRDefault="00B24B16" w:rsidP="004949DA">
      <w:pPr>
        <w:spacing w:after="0"/>
        <w:rPr>
          <w:sz w:val="2"/>
        </w:rPr>
      </w:pPr>
    </w:p>
    <w:p w:rsidR="00B24B16" w:rsidRPr="00BE1EBA" w:rsidRDefault="00C65AE5" w:rsidP="00232778">
      <w:pPr>
        <w:pStyle w:val="ModlesEn-tte2"/>
      </w:pPr>
      <w:bookmarkStart w:id="47" w:name="_Toc413070284"/>
      <w:r w:rsidRPr="00BE1EBA">
        <w:lastRenderedPageBreak/>
        <w:t xml:space="preserve">6A.9 </w:t>
      </w:r>
      <w:r w:rsidRPr="00BE1EBA">
        <w:tab/>
        <w:t>Attestations</w:t>
      </w:r>
      <w:bookmarkEnd w:id="47"/>
    </w:p>
    <w:p w:rsidR="00B24B16" w:rsidRPr="00BE1EBA" w:rsidRDefault="00C65AE5" w:rsidP="00EA4608">
      <w:pPr>
        <w:pStyle w:val="ModlesEn-tte3"/>
      </w:pPr>
      <w:bookmarkStart w:id="48" w:name="_Toc412634785"/>
      <w:r w:rsidRPr="00BE1EBA">
        <w:t>6A.9.1</w:t>
      </w:r>
      <w:r w:rsidRPr="00BE1EBA">
        <w:tab/>
        <w:t>Conformité</w:t>
      </w:r>
      <w:bookmarkEnd w:id="48"/>
    </w:p>
    <w:p w:rsidR="00B24B16" w:rsidRPr="00BE1EBA" w:rsidRDefault="00B24B16">
      <w:pPr>
        <w:pStyle w:val="DefaultText"/>
      </w:pPr>
      <w:r w:rsidRPr="00BE1EBA">
        <w:t>Le respect continu des attestations fournies par le fournisseur avec son arrangement ainsi que la coopération constante quant aux renseignements connexes sont des conditions d</w:t>
      </w:r>
      <w:r w:rsidR="00812400" w:rsidRPr="00BE1EBA">
        <w:t>’</w:t>
      </w:r>
      <w:r w:rsidRPr="00BE1EBA">
        <w:t>émission de l</w:t>
      </w:r>
      <w:r w:rsidR="00812400" w:rsidRPr="00BE1EBA">
        <w:t>’</w:t>
      </w:r>
      <w:r w:rsidRPr="00BE1EBA">
        <w:t>arrangement en matière d</w:t>
      </w:r>
      <w:r w:rsidR="00812400" w:rsidRPr="00BE1EBA">
        <w:t>’</w:t>
      </w:r>
      <w:r w:rsidRPr="00BE1EBA">
        <w:t>approvisionnement (AMA). Les attestations pourront faire l</w:t>
      </w:r>
      <w:r w:rsidR="00812400" w:rsidRPr="00BE1EBA">
        <w:t>’</w:t>
      </w:r>
      <w:r w:rsidRPr="00BE1EBA">
        <w:t>objet de vérifications par le Canada pendant toute la durée de l</w:t>
      </w:r>
      <w:r w:rsidR="00812400" w:rsidRPr="00BE1EBA">
        <w:t>’</w:t>
      </w:r>
      <w:r w:rsidRPr="00BE1EBA">
        <w:t>AMA et de tout contrat subséquent qui serait en vigueur au delà de la période de l</w:t>
      </w:r>
      <w:r w:rsidR="00812400" w:rsidRPr="00BE1EBA">
        <w:t>’</w:t>
      </w:r>
      <w:r w:rsidRPr="00BE1EBA">
        <w:t>AMA. En cas de manquement à toute déclaration de la part du fournisseur ou à fournir les renseignements connexes, ou encore si on constate que les attestations qu</w:t>
      </w:r>
      <w:r w:rsidR="00812400" w:rsidRPr="00BE1EBA">
        <w:t>’</w:t>
      </w:r>
      <w:r w:rsidRPr="00BE1EBA">
        <w:t>il a fournies avec l</w:t>
      </w:r>
      <w:r w:rsidR="00812400" w:rsidRPr="00BE1EBA">
        <w:t>’</w:t>
      </w:r>
      <w:r w:rsidRPr="00BE1EBA">
        <w:t>arrangement comprennent de fausses déclarations, faites sciemment ou non, le Canada aura le droit de résilier tout contrat subséquent pour défaut et de suspendre ou annuler l</w:t>
      </w:r>
      <w:r w:rsidR="00812400" w:rsidRPr="00BE1EBA">
        <w:t>’</w:t>
      </w:r>
      <w:r w:rsidRPr="00BE1EBA">
        <w:t>arrangement en matière d</w:t>
      </w:r>
      <w:r w:rsidR="00812400" w:rsidRPr="00BE1EBA">
        <w:t>’</w:t>
      </w:r>
      <w:r w:rsidRPr="00BE1EBA">
        <w:t>approvisionnement.</w:t>
      </w:r>
    </w:p>
    <w:p w:rsidR="00234B37" w:rsidRPr="00BE1EBA" w:rsidRDefault="00234B37" w:rsidP="00EA4608">
      <w:pPr>
        <w:pStyle w:val="ModlesEn-tte3"/>
      </w:pPr>
      <w:bookmarkStart w:id="49" w:name="_Toc412634786"/>
      <w:r w:rsidRPr="00BE1EBA">
        <w:t>6A.9.2</w:t>
      </w:r>
      <w:r w:rsidRPr="00BE1EBA">
        <w:tab/>
        <w:t>Certificat de conformité des produits</w:t>
      </w:r>
      <w:bookmarkEnd w:id="49"/>
      <w:r w:rsidRPr="00BE1EBA">
        <w:t xml:space="preserve"> </w:t>
      </w:r>
    </w:p>
    <w:p w:rsidR="00360F9E" w:rsidRPr="00BE1EBA" w:rsidRDefault="00360F9E" w:rsidP="00360F9E">
      <w:r w:rsidRPr="00BE1EBA">
        <w:t>Le fournisseur garantit que le certificat de conformité des produits qu</w:t>
      </w:r>
      <w:r w:rsidR="00812400" w:rsidRPr="00BE1EBA">
        <w:t>’</w:t>
      </w:r>
      <w:r w:rsidRPr="00BE1EBA">
        <w:t>il a présenté avec son arrangement est exact et complet et que les produits fournis dans le cadre de tout contrat découlant de l</w:t>
      </w:r>
      <w:r w:rsidR="00812400" w:rsidRPr="00BE1EBA">
        <w:t>’</w:t>
      </w:r>
      <w:r w:rsidRPr="00BE1EBA">
        <w:t>AMA sont conformes à l</w:t>
      </w:r>
      <w:r w:rsidR="00812400" w:rsidRPr="00BE1EBA">
        <w:t>’</w:t>
      </w:r>
      <w:r w:rsidRPr="00BE1EBA">
        <w:t>AMA du fournisseur et plus particulièrement à l</w:t>
      </w:r>
      <w:r w:rsidR="00812400" w:rsidRPr="00BE1EBA">
        <w:t>’</w:t>
      </w:r>
      <w:r w:rsidRPr="00BE1EBA">
        <w:t>Annexe A. Le fournisseur doit conserver les dossiers et documents relatifs à la conformité des produits et aux critères d</w:t>
      </w:r>
      <w:r w:rsidR="00812400" w:rsidRPr="00BE1EBA">
        <w:t>’</w:t>
      </w:r>
      <w:r w:rsidRPr="00BE1EBA">
        <w:t>essai décrits à l</w:t>
      </w:r>
      <w:r w:rsidR="00812400" w:rsidRPr="00BE1EBA">
        <w:t>’</w:t>
      </w:r>
      <w:r w:rsidRPr="00BE1EBA">
        <w:t>Annexe A. Sans l</w:t>
      </w:r>
      <w:r w:rsidR="00812400" w:rsidRPr="00BE1EBA">
        <w:t>’</w:t>
      </w:r>
      <w:r w:rsidRPr="00BE1EBA">
        <w:t>autorisation préalable écrite du responsable de l</w:t>
      </w:r>
      <w:r w:rsidR="00812400" w:rsidRPr="00BE1EBA">
        <w:t>’</w:t>
      </w:r>
      <w:r w:rsidRPr="00BE1EBA">
        <w:t>AMA, le fournisseur ne peut détruire les dossiers ou documents avant l</w:t>
      </w:r>
      <w:r w:rsidR="00812400" w:rsidRPr="00BE1EBA">
        <w:t>’</w:t>
      </w:r>
      <w:r w:rsidRPr="00BE1EBA">
        <w:t>expiration du contrat ou la date d</w:t>
      </w:r>
      <w:r w:rsidR="00812400" w:rsidRPr="00BE1EBA">
        <w:t>’</w:t>
      </w:r>
      <w:r w:rsidRPr="00BE1EBA">
        <w:t>expiration de la garantie, selon l</w:t>
      </w:r>
      <w:r w:rsidR="00812400" w:rsidRPr="00BE1EBA">
        <w:t>’</w:t>
      </w:r>
      <w:r w:rsidRPr="00BE1EBA">
        <w:t xml:space="preserve">échéance la plus éloignée. Au cours de cette période de rétention, tous les dossiers et documents devront être en tout temps accessibles pour des vérifications, des inspections et des examens par les représentants du Canada, qui pourront en tirer des copies ou des extraits. </w:t>
      </w:r>
    </w:p>
    <w:p w:rsidR="00360F9E" w:rsidRPr="00BE1EBA" w:rsidRDefault="00360F9E" w:rsidP="00360F9E">
      <w:r w:rsidRPr="00BE1EBA">
        <w:t>En outre, le fournisseur doit permettre aux représentants du responsable de l</w:t>
      </w:r>
      <w:r w:rsidR="00812400" w:rsidRPr="00BE1EBA">
        <w:t>’</w:t>
      </w:r>
      <w:r w:rsidRPr="00BE1EBA">
        <w:t>AMA d</w:t>
      </w:r>
      <w:r w:rsidR="00812400" w:rsidRPr="00BE1EBA">
        <w:t>’</w:t>
      </w:r>
      <w:r w:rsidRPr="00BE1EBA">
        <w:t>accéder en tout temps, durant les heures de travail, à tous les lieux où une partie des travaux est exécutée. Les représentants du responsable de l</w:t>
      </w:r>
      <w:r w:rsidR="00812400" w:rsidRPr="00BE1EBA">
        <w:t>’</w:t>
      </w:r>
      <w:r w:rsidRPr="00BE1EBA">
        <w:t>AMA peuvent procéder à leur gré à des examens et à des vérifications des travaux. Le fournisseur doit fournir toute l</w:t>
      </w:r>
      <w:r w:rsidR="00812400" w:rsidRPr="00BE1EBA">
        <w:t>’</w:t>
      </w:r>
      <w:r w:rsidRPr="00BE1EBA">
        <w:t>aide nécessaire aux représentants du responsable de l</w:t>
      </w:r>
      <w:r w:rsidR="00812400" w:rsidRPr="00BE1EBA">
        <w:t>’</w:t>
      </w:r>
      <w:r w:rsidRPr="00BE1EBA">
        <w:t>AMA et leur permettre l</w:t>
      </w:r>
      <w:r w:rsidR="00812400" w:rsidRPr="00BE1EBA">
        <w:t>’</w:t>
      </w:r>
      <w:r w:rsidRPr="00BE1EBA">
        <w:t>accès aux installations, aux pièces d</w:t>
      </w:r>
      <w:r w:rsidR="00812400" w:rsidRPr="00BE1EBA">
        <w:t>’</w:t>
      </w:r>
      <w:r w:rsidRPr="00BE1EBA">
        <w:t>essai, aux échantillons et aux documents dont ils peuvent raisonnablement avoir besoin pour mener leur inspection, ce qui peut également inclure la soumission de documents de rapport sur les essais, mentionnés à l</w:t>
      </w:r>
      <w:r w:rsidR="00812400" w:rsidRPr="00BE1EBA">
        <w:t>’</w:t>
      </w:r>
      <w:r w:rsidRPr="00BE1EBA">
        <w:t>Annexe A. Le fournisseur doit faire parvenir les pièces d</w:t>
      </w:r>
      <w:r w:rsidR="00812400" w:rsidRPr="00BE1EBA">
        <w:t>’</w:t>
      </w:r>
      <w:r w:rsidRPr="00BE1EBA">
        <w:t>essai, les échantillons ou les documents aux personnes ou aux lieux désignés par les représentants du responsable de l</w:t>
      </w:r>
      <w:r w:rsidR="00812400" w:rsidRPr="00BE1EBA">
        <w:t>’</w:t>
      </w:r>
      <w:r w:rsidRPr="00BE1EBA">
        <w:t>AMA.</w:t>
      </w:r>
    </w:p>
    <w:p w:rsidR="00360F9E" w:rsidRPr="00BE1EBA" w:rsidRDefault="00360F9E" w:rsidP="00360F9E">
      <w:r w:rsidRPr="00BE1EBA">
        <w:t>Cette clause ne peut être interprétée de façon à limiter les droits et recours dont le Canada pourra par ailleurs se prévaloir conformément à tout contrat subséquent.</w:t>
      </w:r>
    </w:p>
    <w:p w:rsidR="00E74619" w:rsidRPr="00BE1EBA" w:rsidRDefault="00E74619" w:rsidP="00EA4608">
      <w:pPr>
        <w:pStyle w:val="ModlesEn-tte3"/>
      </w:pPr>
      <w:bookmarkStart w:id="50" w:name="_Toc412634787"/>
      <w:r w:rsidRPr="00BE1EBA">
        <w:t>6A.9.3</w:t>
      </w:r>
      <w:r w:rsidRPr="00BE1EBA">
        <w:tab/>
        <w:t>Programme de contrats fédéraux pour l</w:t>
      </w:r>
      <w:r w:rsidR="00812400" w:rsidRPr="00BE1EBA">
        <w:t>’</w:t>
      </w:r>
      <w:r w:rsidRPr="00BE1EBA">
        <w:t>équité en matière d</w:t>
      </w:r>
      <w:r w:rsidR="00812400" w:rsidRPr="00BE1EBA">
        <w:t>’</w:t>
      </w:r>
      <w:r w:rsidRPr="00BE1EBA">
        <w:t>emploi – Manquement de la part de l</w:t>
      </w:r>
      <w:r w:rsidR="00812400" w:rsidRPr="00BE1EBA">
        <w:t>’</w:t>
      </w:r>
      <w:r w:rsidRPr="00BE1EBA">
        <w:t>entrepreneur</w:t>
      </w:r>
      <w:bookmarkEnd w:id="50"/>
    </w:p>
    <w:p w:rsidR="00E74619" w:rsidRPr="00BE1EBA" w:rsidRDefault="00E74619" w:rsidP="00E74619">
      <w:r w:rsidRPr="00BE1EBA">
        <w:t>L</w:t>
      </w:r>
      <w:r w:rsidR="00812400" w:rsidRPr="00BE1EBA">
        <w:t>’</w:t>
      </w:r>
      <w:r w:rsidRPr="00BE1EBA">
        <w:t>entrepreneur comprend et convient que l</w:t>
      </w:r>
      <w:r w:rsidR="00812400" w:rsidRPr="00BE1EBA">
        <w:t>’</w:t>
      </w:r>
      <w:r w:rsidRPr="00BE1EBA">
        <w:t>entente de mise en œuvre de l</w:t>
      </w:r>
      <w:r w:rsidR="00812400" w:rsidRPr="00BE1EBA">
        <w:t>’</w:t>
      </w:r>
      <w:r w:rsidRPr="00BE1EBA">
        <w:t>équité en matière d</w:t>
      </w:r>
      <w:r w:rsidR="00812400" w:rsidRPr="00BE1EBA">
        <w:t>’</w:t>
      </w:r>
      <w:r w:rsidRPr="00BE1EBA">
        <w:t>emploi conclue avec le Programme du travail d</w:t>
      </w:r>
      <w:r w:rsidR="00812400" w:rsidRPr="00BE1EBA">
        <w:t>’</w:t>
      </w:r>
      <w:r w:rsidRPr="00BE1EBA">
        <w:t>Emploi et Développement social Canada (EDSC) doit demeurer valide pendant toute la durée du contrat</w:t>
      </w:r>
      <w:r w:rsidR="00EF7715" w:rsidRPr="00BE1EBA">
        <w:t xml:space="preserve">. </w:t>
      </w:r>
      <w:r w:rsidRPr="00BE1EBA">
        <w:t>Si cette entente devient invalide, le nom de l</w:t>
      </w:r>
      <w:r w:rsidR="00812400" w:rsidRPr="00BE1EBA">
        <w:t>’</w:t>
      </w:r>
      <w:r w:rsidRPr="00BE1EBA">
        <w:t xml:space="preserve">entrepreneur sera ajouté à la </w:t>
      </w:r>
      <w:hyperlink r:id="rId18">
        <w:r w:rsidRPr="00BE1EBA">
          <w:rPr>
            <w:rStyle w:val="Hyperlink"/>
            <w:color w:val="000000"/>
          </w:rPr>
          <w:t>« Liste d</w:t>
        </w:r>
        <w:r w:rsidR="00812400" w:rsidRPr="00BE1EBA">
          <w:rPr>
            <w:rStyle w:val="Hyperlink"/>
            <w:color w:val="000000"/>
          </w:rPr>
          <w:t>’</w:t>
        </w:r>
        <w:r w:rsidRPr="00BE1EBA">
          <w:rPr>
            <w:rStyle w:val="Hyperlink"/>
            <w:color w:val="000000"/>
          </w:rPr>
          <w:t>admissibilité limitée à soumissionner au Programme de contrats fédéraux »</w:t>
        </w:r>
      </w:hyperlink>
      <w:r w:rsidR="00EF7715" w:rsidRPr="00BE1EBA">
        <w:t xml:space="preserve">. </w:t>
      </w:r>
      <w:r w:rsidRPr="00BE1EBA">
        <w:t>L</w:t>
      </w:r>
      <w:r w:rsidR="00812400" w:rsidRPr="00BE1EBA">
        <w:t>’</w:t>
      </w:r>
      <w:r w:rsidRPr="00BE1EBA">
        <w:t>imposition d</w:t>
      </w:r>
      <w:r w:rsidR="00812400" w:rsidRPr="00BE1EBA">
        <w:t>’</w:t>
      </w:r>
      <w:r w:rsidRPr="00BE1EBA">
        <w:t>une telle sanction par EDSC fera en sorte que l</w:t>
      </w:r>
      <w:r w:rsidR="00812400" w:rsidRPr="00BE1EBA">
        <w:t>’</w:t>
      </w:r>
      <w:r w:rsidRPr="00BE1EBA">
        <w:t>entrepreneur sera considéré non conforme aux modalités du contrat.</w:t>
      </w:r>
    </w:p>
    <w:p w:rsidR="00E74619" w:rsidRPr="00BE1EBA" w:rsidRDefault="00E74619" w:rsidP="00EA4608">
      <w:pPr>
        <w:pStyle w:val="ModlesEn-tte3"/>
      </w:pPr>
      <w:bookmarkStart w:id="51" w:name="_Toc412634788"/>
      <w:r w:rsidRPr="00BE1EBA">
        <w:t>6A.9.4  SAEA – Certificat de conformité</w:t>
      </w:r>
      <w:bookmarkEnd w:id="51"/>
      <w:r w:rsidR="002A6210" w:rsidRPr="00BE1EBA">
        <w:t xml:space="preserve"> </w:t>
      </w:r>
    </w:p>
    <w:p w:rsidR="00E74619" w:rsidRPr="00BE1EBA" w:rsidRDefault="00E74619" w:rsidP="00E74619">
      <w:r w:rsidRPr="00BE1EBA">
        <w:t>Cette clause s</w:t>
      </w:r>
      <w:r w:rsidR="00812400" w:rsidRPr="00BE1EBA">
        <w:t>’</w:t>
      </w:r>
      <w:r w:rsidRPr="00BE1EBA">
        <w:t>applique aux fournisseurs visés par la SAEA qui ont présenté avec leur arrangement une attestation dûment remplie aux fins du Programme des marchés réservés aux entreprises autochtones. La présente clause ne sera pas incluse dans les AMA destinés aux fournisseurs généraux. Les renseignements de ce paragraphe ne seront également pas inclus dans l</w:t>
      </w:r>
      <w:r w:rsidR="00812400" w:rsidRPr="00BE1EBA">
        <w:t>’</w:t>
      </w:r>
      <w:r w:rsidRPr="00BE1EBA">
        <w:t>ensemble des AMA subséquents.</w:t>
      </w:r>
    </w:p>
    <w:p w:rsidR="00E74619" w:rsidRPr="00BE1EBA" w:rsidRDefault="00E74619" w:rsidP="00E74619">
      <w:r w:rsidRPr="00BE1EBA">
        <w:t>a) Le fournisseur déclare que l</w:t>
      </w:r>
      <w:r w:rsidR="00812400" w:rsidRPr="00BE1EBA">
        <w:t>’</w:t>
      </w:r>
      <w:r w:rsidRPr="00BE1EBA">
        <w:t>attestation de conformité qu</w:t>
      </w:r>
      <w:r w:rsidR="00812400" w:rsidRPr="00BE1EBA">
        <w:t>’</w:t>
      </w:r>
      <w:r w:rsidRPr="00BE1EBA">
        <w:t>il a fournie est exacte, complète et conforme aux « Exigences relatives au Programme de marchés réservés aux entreprises autochtones</w:t>
      </w:r>
      <w:r w:rsidR="00131D6E" w:rsidRPr="00BE1EBA">
        <w:t> </w:t>
      </w:r>
      <w:r w:rsidRPr="00BE1EBA">
        <w:t>» décrites à l´Annexe 9.4 du Guide des approvisionnements.</w:t>
      </w:r>
    </w:p>
    <w:p w:rsidR="00E74619" w:rsidRPr="00BE1EBA" w:rsidRDefault="00E74619" w:rsidP="00E74619">
      <w:r w:rsidRPr="00BE1EBA">
        <w:lastRenderedPageBreak/>
        <w:t>b) Si une telle attestation a été fournie, le fournisseur doit conserver des dossiers et des documents appropriés sur l</w:t>
      </w:r>
      <w:r w:rsidR="00812400" w:rsidRPr="00BE1EBA">
        <w:t>’</w:t>
      </w:r>
      <w:r w:rsidRPr="00BE1EBA">
        <w:t>exactitude de l</w:t>
      </w:r>
      <w:r w:rsidR="00812400" w:rsidRPr="00BE1EBA">
        <w:t>’</w:t>
      </w:r>
      <w:r w:rsidRPr="00BE1EBA">
        <w:t>attestation fournie au représentant du Canada. Le fournisseur doit obtenir l</w:t>
      </w:r>
      <w:r w:rsidR="00812400" w:rsidRPr="00BE1EBA">
        <w:t>’</w:t>
      </w:r>
      <w:r w:rsidRPr="00BE1EBA">
        <w:t>autorisation préalable écrite du responsable de l</w:t>
      </w:r>
      <w:r w:rsidR="00812400" w:rsidRPr="00BE1EBA">
        <w:t>’</w:t>
      </w:r>
      <w:r w:rsidRPr="00BE1EBA">
        <w:t>AMA avant d</w:t>
      </w:r>
      <w:r w:rsidR="00812400" w:rsidRPr="00BE1EBA">
        <w:t>’</w:t>
      </w:r>
      <w:r w:rsidRPr="00BE1EBA">
        <w:t>éliminer des dossiers ou des documents pour une période de six (6) ans commençant à la dernière des dates suivantes : la date du paiement final en vertu de chaque contrat ou la date du règlement de toute plainte ou de tout litige en suspens. Au cours de cette période de rétention, tous les dossiers et documents devront être en tout temps accessibles pour des vérifications par les représentants du Canada, qui pourront en tirer des copies ou des extraits. Le fournisseur doit fournir toutes les installations nécessaires à ces vérifications.</w:t>
      </w:r>
    </w:p>
    <w:p w:rsidR="00E74619" w:rsidRPr="00BE1EBA" w:rsidRDefault="00E74619" w:rsidP="00E74619">
      <w:r w:rsidRPr="00BE1EBA">
        <w:t>c) Cette clause ne peut être interprétée de façon à limiter les droits et recours dont le Canada pourra par ailleurs se prévaloir conformément à l</w:t>
      </w:r>
      <w:r w:rsidR="00812400" w:rsidRPr="00BE1EBA">
        <w:t>’</w:t>
      </w:r>
      <w:r w:rsidRPr="00BE1EBA">
        <w:t>AMA et aux contrats subséquents.</w:t>
      </w:r>
    </w:p>
    <w:p w:rsidR="00E74619" w:rsidRPr="00BE1EBA" w:rsidRDefault="003029CF" w:rsidP="00EA4608">
      <w:pPr>
        <w:pStyle w:val="ModlesEn-tte3"/>
      </w:pPr>
      <w:bookmarkStart w:id="52" w:name="_Toc412634789"/>
      <w:r w:rsidRPr="00BE1EBA">
        <w:t>6A.9.5 Canadian Content</w:t>
      </w:r>
      <w:bookmarkEnd w:id="52"/>
    </w:p>
    <w:p w:rsidR="00A841A2" w:rsidRPr="00BE1EBA" w:rsidRDefault="00A841A2" w:rsidP="00A841A2">
      <w:r w:rsidRPr="00BE1EBA">
        <w:t>Cette clause s</w:t>
      </w:r>
      <w:r w:rsidR="00812400" w:rsidRPr="00BE1EBA">
        <w:t>’</w:t>
      </w:r>
      <w:r w:rsidRPr="00BE1EBA">
        <w:t>applique aux fournisseurs visés par la SAEA qui ont présenté l</w:t>
      </w:r>
      <w:r w:rsidR="00812400" w:rsidRPr="00BE1EBA">
        <w:t>’</w:t>
      </w:r>
      <w:r w:rsidRPr="00BE1EBA">
        <w:t>attestation du contenu canadien avec leur arrangement. Elle ne sera pas incluse dans les AMA destinés aux fournisseurs généraux et à ceux visés par le SAEA qui n</w:t>
      </w:r>
      <w:r w:rsidR="00812400" w:rsidRPr="00BE1EBA">
        <w:t>’</w:t>
      </w:r>
      <w:r w:rsidRPr="00BE1EBA">
        <w:t>ont pas offert de produits conformes à la définition de l</w:t>
      </w:r>
      <w:r w:rsidR="00812400" w:rsidRPr="00BE1EBA">
        <w:t>’</w:t>
      </w:r>
      <w:r w:rsidRPr="00BE1EBA">
        <w:t xml:space="preserve">attestation du contenu canadien. </w:t>
      </w:r>
    </w:p>
    <w:p w:rsidR="00A841A2" w:rsidRPr="00BE1EBA" w:rsidRDefault="00A841A2" w:rsidP="00D76919">
      <w:pPr>
        <w:numPr>
          <w:ilvl w:val="0"/>
          <w:numId w:val="9"/>
        </w:numPr>
        <w:spacing w:before="100" w:beforeAutospacing="1" w:after="100" w:afterAutospacing="1"/>
      </w:pPr>
      <w:r w:rsidRPr="00BE1EBA">
        <w:t>L</w:t>
      </w:r>
      <w:r w:rsidR="00812400" w:rsidRPr="00BE1EBA">
        <w:t>’</w:t>
      </w:r>
      <w:r w:rsidRPr="00BE1EBA">
        <w:t>entrepreneur déclare que l</w:t>
      </w:r>
      <w:r w:rsidR="00812400" w:rsidRPr="00BE1EBA">
        <w:t>’</w:t>
      </w:r>
      <w:r w:rsidRPr="00BE1EBA">
        <w:t>attestation relative au contenu canadien qui a été fournie par l</w:t>
      </w:r>
      <w:r w:rsidR="00812400" w:rsidRPr="00BE1EBA">
        <w:t>’</w:t>
      </w:r>
      <w:r w:rsidRPr="00BE1EBA">
        <w:t xml:space="preserve">entrepreneur est exacte et complète et que les produits, les services ou les deux devant être fournis conformément au contrat sont conformes à la définition contenue dans la clause </w:t>
      </w:r>
      <w:hyperlink r:id="rId19" w:history="1">
        <w:r w:rsidRPr="00BE1EBA">
          <w:rPr>
            <w:rStyle w:val="Hyperlink"/>
          </w:rPr>
          <w:t>A3050T</w:t>
        </w:r>
      </w:hyperlink>
      <w:r w:rsidRPr="00BE1EBA">
        <w:t>.</w:t>
      </w:r>
    </w:p>
    <w:p w:rsidR="00A841A2" w:rsidRPr="00BE1EBA" w:rsidRDefault="00A841A2" w:rsidP="00D76919">
      <w:pPr>
        <w:numPr>
          <w:ilvl w:val="0"/>
          <w:numId w:val="10"/>
        </w:numPr>
        <w:spacing w:before="100" w:beforeAutospacing="1" w:after="100" w:afterAutospacing="1"/>
      </w:pPr>
      <w:r w:rsidRPr="00BE1EBA">
        <w:t>L</w:t>
      </w:r>
      <w:r w:rsidR="00812400" w:rsidRPr="00BE1EBA">
        <w:t>’</w:t>
      </w:r>
      <w:r w:rsidRPr="00BE1EBA">
        <w:t>entrepreneur doit conserver des dossiers et documents appropriés sur l</w:t>
      </w:r>
      <w:r w:rsidR="00812400" w:rsidRPr="00BE1EBA">
        <w:t>’</w:t>
      </w:r>
      <w:r w:rsidRPr="00BE1EBA">
        <w:t>origine des produits, services ou les deux fournis au Canada. Sauf avec autorisation préalable écrite de l</w:t>
      </w:r>
      <w:r w:rsidR="00812400" w:rsidRPr="00BE1EBA">
        <w:t>’</w:t>
      </w:r>
      <w:r w:rsidRPr="00BE1EBA">
        <w:t>autorité contractante, l</w:t>
      </w:r>
      <w:r w:rsidR="00812400" w:rsidRPr="00BE1EBA">
        <w:t>’</w:t>
      </w:r>
      <w:r w:rsidRPr="00BE1EBA">
        <w:t>entrepreneur ne peut disposer des dossiers ou des documents pour une période de six (6) années commençant à la dernière des dates suivantes : la date du paiement final en vertu du contrat, ou la date du règlement de toute plainte ou de tout litige en vertu du contrat. Au cours de cette période de rétention, tous les dossiers et documents devront être en tout temps accessibles pour des vérifications, inspections et examens par les représentants du Canada, qui pourront en tirer des copies ou des extraits. L</w:t>
      </w:r>
      <w:r w:rsidR="00812400" w:rsidRPr="00BE1EBA">
        <w:t>’</w:t>
      </w:r>
      <w:r w:rsidRPr="00BE1EBA">
        <w:t>entrepreneur doit fournir toutes les installations nécessaires à ces vérifications, inspections et examens ainsi que tous les renseignements sur les dossiers et documents exiger par les représentants du Canada de temps à autre.</w:t>
      </w:r>
    </w:p>
    <w:p w:rsidR="00A841A2" w:rsidRPr="00BE1EBA" w:rsidRDefault="00A841A2" w:rsidP="00D76919">
      <w:pPr>
        <w:numPr>
          <w:ilvl w:val="0"/>
          <w:numId w:val="11"/>
        </w:numPr>
        <w:spacing w:before="100" w:beforeAutospacing="1" w:after="100" w:afterAutospacing="1"/>
      </w:pPr>
      <w:r w:rsidRPr="00BE1EBA">
        <w:t>Cette clause ne peut être interprétée de façon à limiter les droits et les recours que le Canada peut par ailleurs avoir en vertu du contrat.</w:t>
      </w:r>
    </w:p>
    <w:p w:rsidR="00B24B16" w:rsidRPr="00BE1EBA" w:rsidRDefault="00C65AE5" w:rsidP="00232778">
      <w:pPr>
        <w:pStyle w:val="ModlesEn-tte2"/>
      </w:pPr>
      <w:bookmarkStart w:id="53" w:name="_Toc413070285"/>
      <w:r w:rsidRPr="00BE1EBA">
        <w:t>6A.10</w:t>
      </w:r>
      <w:r w:rsidRPr="00BE1EBA">
        <w:tab/>
        <w:t>Lois applicables</w:t>
      </w:r>
      <w:bookmarkEnd w:id="53"/>
    </w:p>
    <w:p w:rsidR="00B24B16" w:rsidRPr="00BE1EBA" w:rsidRDefault="00B24B16">
      <w:pPr>
        <w:pStyle w:val="DefaultText"/>
      </w:pPr>
      <w:r w:rsidRPr="00BE1EBA">
        <w:t>L</w:t>
      </w:r>
      <w:r w:rsidR="00812400" w:rsidRPr="00BE1EBA">
        <w:t>’</w:t>
      </w:r>
      <w:r w:rsidRPr="00BE1EBA">
        <w:t>arrangement en matière d</w:t>
      </w:r>
      <w:r w:rsidR="00812400" w:rsidRPr="00BE1EBA">
        <w:t>’</w:t>
      </w:r>
      <w:r w:rsidRPr="00BE1EBA">
        <w:t>approvisionnement (AMA) et tout contrat découlant de l</w:t>
      </w:r>
      <w:r w:rsidR="00812400" w:rsidRPr="00BE1EBA">
        <w:t>’</w:t>
      </w:r>
      <w:r w:rsidRPr="00BE1EBA">
        <w:t xml:space="preserve">AMA doivent être interprétés et régis selon les lois en vigueur _____ </w:t>
      </w:r>
      <w:r w:rsidRPr="00BE1EBA">
        <w:rPr>
          <w:i/>
        </w:rPr>
        <w:t>(insérer la loi de la province ou du territoire précisée par le fournisseur dans l</w:t>
      </w:r>
      <w:r w:rsidR="00812400" w:rsidRPr="00BE1EBA">
        <w:rPr>
          <w:i/>
        </w:rPr>
        <w:t>’</w:t>
      </w:r>
      <w:r w:rsidRPr="00BE1EBA">
        <w:rPr>
          <w:i/>
        </w:rPr>
        <w:t>arrangement, s</w:t>
      </w:r>
      <w:r w:rsidR="00812400" w:rsidRPr="00BE1EBA">
        <w:rPr>
          <w:i/>
        </w:rPr>
        <w:t>’</w:t>
      </w:r>
      <w:r w:rsidRPr="00BE1EBA">
        <w:rPr>
          <w:i/>
        </w:rPr>
        <w:t>il y a lieu)</w:t>
      </w:r>
      <w:r w:rsidRPr="00BE1EBA">
        <w:t xml:space="preserve"> et les relations entre les parties seront déterminées par ces lois.</w:t>
      </w:r>
    </w:p>
    <w:p w:rsidR="003A135E" w:rsidRPr="00BE1EBA" w:rsidRDefault="003A135E" w:rsidP="00232778">
      <w:pPr>
        <w:pStyle w:val="ModlesEn-tte2"/>
        <w:rPr>
          <w:rStyle w:val="Heading2Char"/>
          <w:rFonts w:ascii="Arial" w:hAnsi="Arial"/>
          <w:b/>
          <w:bCs/>
          <w:i w:val="0"/>
          <w:iCs/>
          <w:sz w:val="20"/>
        </w:rPr>
      </w:pPr>
      <w:bookmarkStart w:id="54" w:name="_Toc413070286"/>
      <w:r w:rsidRPr="00BE1EBA">
        <w:rPr>
          <w:rStyle w:val="Heading2Char"/>
          <w:rFonts w:ascii="Arial" w:hAnsi="Arial"/>
          <w:b/>
          <w:i w:val="0"/>
          <w:sz w:val="20"/>
        </w:rPr>
        <w:t>6A.11</w:t>
      </w:r>
      <w:r w:rsidRPr="00BE1EBA">
        <w:tab/>
      </w:r>
      <w:r w:rsidRPr="00BE1EBA">
        <w:rPr>
          <w:rStyle w:val="Heading2Char"/>
          <w:rFonts w:ascii="Arial" w:hAnsi="Arial"/>
          <w:b/>
          <w:i w:val="0"/>
          <w:sz w:val="20"/>
        </w:rPr>
        <w:t>Utilisation d</w:t>
      </w:r>
      <w:r w:rsidR="00812400" w:rsidRPr="00BE1EBA">
        <w:rPr>
          <w:rStyle w:val="Heading2Char"/>
          <w:rFonts w:ascii="Arial" w:hAnsi="Arial"/>
          <w:b/>
          <w:i w:val="0"/>
          <w:sz w:val="20"/>
        </w:rPr>
        <w:t>’</w:t>
      </w:r>
      <w:r w:rsidRPr="00BE1EBA">
        <w:rPr>
          <w:rStyle w:val="Heading2Char"/>
          <w:rFonts w:ascii="Arial" w:hAnsi="Arial"/>
          <w:b/>
          <w:i w:val="0"/>
          <w:sz w:val="20"/>
        </w:rPr>
        <w:t>outils électroniques</w:t>
      </w:r>
      <w:bookmarkEnd w:id="54"/>
    </w:p>
    <w:p w:rsidR="003A135E" w:rsidRPr="00BE1EBA" w:rsidRDefault="003A135E" w:rsidP="003A135E">
      <w:r w:rsidRPr="00BE1EBA">
        <w:t>Pendant la durée de l</w:t>
      </w:r>
      <w:r w:rsidR="00812400" w:rsidRPr="00BE1EBA">
        <w:t>’</w:t>
      </w:r>
      <w:r w:rsidRPr="00BE1EBA">
        <w:t>AMA, le Canada peut commencer à utiliser un ou plusieurs outils électroniques pour faciliter le processus d</w:t>
      </w:r>
      <w:r w:rsidR="00812400" w:rsidRPr="00BE1EBA">
        <w:t>’</w:t>
      </w:r>
      <w:r w:rsidRPr="00BE1EBA">
        <w:t>approvisionnement. Le Canada se réserve le droit, à sa seule discrétion, de rendre l</w:t>
      </w:r>
      <w:r w:rsidR="00812400" w:rsidRPr="00BE1EBA">
        <w:t>’</w:t>
      </w:r>
      <w:r w:rsidRPr="00BE1EBA">
        <w:t>utilisation du nouvel outil d</w:t>
      </w:r>
      <w:r w:rsidR="00812400" w:rsidRPr="00BE1EBA">
        <w:t>’</w:t>
      </w:r>
      <w:r w:rsidRPr="00BE1EBA">
        <w:t>achat électronique obligatoire ou facultative. Dans le cas des processus d</w:t>
      </w:r>
      <w:r w:rsidR="00812400" w:rsidRPr="00BE1EBA">
        <w:t>’</w:t>
      </w:r>
      <w:r w:rsidRPr="00BE1EBA">
        <w:t>approvisionnement pour lesquels l</w:t>
      </w:r>
      <w:r w:rsidR="00812400" w:rsidRPr="00BE1EBA">
        <w:t>’</w:t>
      </w:r>
      <w:r w:rsidRPr="00BE1EBA">
        <w:t>utilisation d</w:t>
      </w:r>
      <w:r w:rsidR="00812400" w:rsidRPr="00BE1EBA">
        <w:t>’</w:t>
      </w:r>
      <w:r w:rsidRPr="00BE1EBA">
        <w:t>un tel outil d</w:t>
      </w:r>
      <w:r w:rsidR="00812400" w:rsidRPr="00BE1EBA">
        <w:t>’</w:t>
      </w:r>
      <w:r w:rsidRPr="00BE1EBA">
        <w:t>achat électronique est obligatoire, si le fournisseur choisit de ne pas offrir ses biens et services à l</w:t>
      </w:r>
      <w:r w:rsidR="00812400" w:rsidRPr="00BE1EBA">
        <w:t>’</w:t>
      </w:r>
      <w:r w:rsidRPr="00BE1EBA">
        <w:t>aide de cet outil, le Canada pourra présumer qu</w:t>
      </w:r>
      <w:r w:rsidR="00812400" w:rsidRPr="00BE1EBA">
        <w:t>’</w:t>
      </w:r>
      <w:r w:rsidRPr="00BE1EBA">
        <w:t>il a choisi de se retirer de l</w:t>
      </w:r>
      <w:r w:rsidR="00812400" w:rsidRPr="00BE1EBA">
        <w:t>’</w:t>
      </w:r>
      <w:r w:rsidRPr="00BE1EBA">
        <w:t>AMA.</w:t>
      </w:r>
    </w:p>
    <w:p w:rsidR="00295174" w:rsidRPr="00BE1EBA" w:rsidRDefault="00295174" w:rsidP="00232778">
      <w:pPr>
        <w:pStyle w:val="ModlesEn-tte2"/>
      </w:pPr>
      <w:bookmarkStart w:id="55" w:name="_Toc413070287"/>
      <w:r w:rsidRPr="00BE1EBA">
        <w:t>6A.12</w:t>
      </w:r>
      <w:r w:rsidRPr="00BE1EBA">
        <w:tab/>
        <w:t>Renseignements concernant le fournisseur</w:t>
      </w:r>
      <w:bookmarkEnd w:id="55"/>
      <w:r w:rsidRPr="00BE1EBA">
        <w:tab/>
      </w:r>
    </w:p>
    <w:p w:rsidR="00295174" w:rsidRPr="00BE1EBA" w:rsidRDefault="00295174" w:rsidP="005F083B">
      <w:pPr>
        <w:pStyle w:val="ModlesEn-tte3"/>
      </w:pPr>
      <w:bookmarkStart w:id="56" w:name="_Toc412634793"/>
      <w:r w:rsidRPr="00BE1EBA">
        <w:t>6A.12.1</w:t>
      </w:r>
      <w:r w:rsidRPr="00BE1EBA">
        <w:tab/>
        <w:t>Représentants du fournisseur – Généralités</w:t>
      </w:r>
      <w:bookmarkEnd w:id="56"/>
    </w:p>
    <w:p w:rsidR="00295174" w:rsidRPr="00BE1EBA" w:rsidRDefault="00295174" w:rsidP="00295174">
      <w:pPr>
        <w:pStyle w:val="DefaultText21"/>
      </w:pPr>
      <w:r w:rsidRPr="00BE1EBA">
        <w:t>1. Les représentants du fournisseur énumérés ci</w:t>
      </w:r>
      <w:r w:rsidR="003262E1" w:rsidRPr="00BE1EBA">
        <w:t>­</w:t>
      </w:r>
      <w:r w:rsidRPr="00BE1EBA">
        <w:t>dessous doivent être à la disposition du Canada en tout temps durant les heures normales de travail afin de s</w:t>
      </w:r>
      <w:r w:rsidR="00812400" w:rsidRPr="00BE1EBA">
        <w:t>’</w:t>
      </w:r>
      <w:r w:rsidRPr="00BE1EBA">
        <w:t>acquitter des responsabilités précisées ci</w:t>
      </w:r>
      <w:r w:rsidR="003262E1" w:rsidRPr="00BE1EBA">
        <w:t>­</w:t>
      </w:r>
      <w:r w:rsidRPr="00BE1EBA">
        <w:t>dessous</w:t>
      </w:r>
      <w:r w:rsidR="00551DBC" w:rsidRPr="00BE1EBA">
        <w:t xml:space="preserve">. </w:t>
      </w:r>
    </w:p>
    <w:p w:rsidR="00295174" w:rsidRPr="00BE1EBA" w:rsidRDefault="00295174" w:rsidP="00295174">
      <w:pPr>
        <w:pStyle w:val="DefaultText21"/>
      </w:pPr>
      <w:r w:rsidRPr="00BE1EBA">
        <w:lastRenderedPageBreak/>
        <w:t>Le responsable de l</w:t>
      </w:r>
      <w:r w:rsidR="00812400" w:rsidRPr="00BE1EBA">
        <w:t>’</w:t>
      </w:r>
      <w:r w:rsidRPr="00BE1EBA">
        <w:t>AMA ajoutera les renseignements provenant de l</w:t>
      </w:r>
      <w:r w:rsidR="00812400" w:rsidRPr="00BE1EBA">
        <w:t>’</w:t>
      </w:r>
      <w:r w:rsidRPr="00BE1EBA">
        <w:t>arrangement du fournisseur au tableau une fois l</w:t>
      </w:r>
      <w:r w:rsidR="00812400" w:rsidRPr="00BE1EBA">
        <w:t>’</w:t>
      </w:r>
      <w:r w:rsidRPr="00BE1EBA">
        <w:t>AMA attribuée</w:t>
      </w:r>
      <w:r w:rsidR="00EF7715" w:rsidRPr="00BE1EBA">
        <w:t xml:space="preserve">. </w:t>
      </w:r>
    </w:p>
    <w:tbl>
      <w:tblPr>
        <w:tblW w:w="0" w:type="auto"/>
        <w:tblInd w:w="108" w:type="dxa"/>
        <w:tblBorders>
          <w:top w:val="single" w:sz="6" w:space="0" w:color="000000"/>
          <w:left w:val="double" w:sz="8" w:space="0" w:color="000000"/>
          <w:bottom w:val="single" w:sz="6" w:space="0" w:color="000000"/>
          <w:right w:val="single" w:sz="6" w:space="0" w:color="000000"/>
          <w:insideH w:val="single" w:sz="6" w:space="0" w:color="000000"/>
          <w:insideV w:val="double" w:sz="8" w:space="0" w:color="000000"/>
        </w:tblBorders>
        <w:tblLayout w:type="fixed"/>
        <w:tblLook w:val="0000"/>
      </w:tblPr>
      <w:tblGrid>
        <w:gridCol w:w="384"/>
        <w:gridCol w:w="1884"/>
        <w:gridCol w:w="6192"/>
      </w:tblGrid>
      <w:tr w:rsidR="00295174" w:rsidRPr="00BE1EBA" w:rsidTr="00295174">
        <w:trPr>
          <w:cantSplit/>
          <w:trHeight w:val="288"/>
        </w:trPr>
        <w:tc>
          <w:tcPr>
            <w:tcW w:w="384" w:type="dxa"/>
            <w:tcBorders>
              <w:top w:val="doub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21"/>
            </w:pPr>
            <w:r w:rsidRPr="00BE1EBA">
              <w:t>A</w:t>
            </w:r>
          </w:p>
          <w:p w:rsidR="00295174" w:rsidRPr="00BE1EBA" w:rsidRDefault="00295174" w:rsidP="00295174">
            <w:pPr>
              <w:pStyle w:val="DefaultText21"/>
            </w:pPr>
          </w:p>
          <w:p w:rsidR="00295174" w:rsidRPr="00BE1EBA" w:rsidRDefault="00295174" w:rsidP="00295174"/>
          <w:p w:rsidR="00295174" w:rsidRPr="00BE1EBA" w:rsidRDefault="00295174" w:rsidP="00295174"/>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295174" w:rsidP="00295174">
            <w:pPr>
              <w:pStyle w:val="DefaultText21"/>
            </w:pPr>
            <w:r w:rsidRPr="00BE1EBA">
              <w:rPr>
                <w:b/>
              </w:rPr>
              <w:t>Pour des renseignements généraux</w:t>
            </w:r>
            <w:r w:rsidRPr="00BE1EBA">
              <w:t xml:space="preserve"> concernant l</w:t>
            </w:r>
            <w:r w:rsidR="00812400" w:rsidRPr="00BE1EBA">
              <w:t>’</w:t>
            </w:r>
            <w:r w:rsidRPr="00BE1EBA">
              <w:t>AMA, la façon de communiquer avec les distributeurs agréés (le cas échéant), etc.</w:t>
            </w:r>
          </w:p>
        </w:tc>
      </w:tr>
      <w:tr w:rsidR="00295174" w:rsidRPr="00BE1EBA" w:rsidTr="00295174">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AE5F56" w:rsidP="00295174">
            <w:pPr>
              <w:pStyle w:val="DefaultText21"/>
            </w:pPr>
            <w:r w:rsidRPr="00BE1EBA">
              <w:t>Nom :</w:t>
            </w:r>
          </w:p>
        </w:tc>
      </w:tr>
      <w:tr w:rsidR="00295174" w:rsidRPr="00BE1EBA" w:rsidTr="00AE5F56">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AE5F56" w:rsidP="00AE5F56">
            <w:pPr>
              <w:pStyle w:val="DefaultText21"/>
            </w:pPr>
            <w:r w:rsidRPr="00BE1EBA">
              <w:t>N</w:t>
            </w:r>
            <w:r w:rsidRPr="00BE1EBA">
              <w:rPr>
                <w:vertAlign w:val="superscript"/>
              </w:rPr>
              <w:t>o</w:t>
            </w:r>
            <w:r w:rsidRPr="00BE1EBA">
              <w:t xml:space="preserve"> de Téléphone :</w:t>
            </w:r>
          </w:p>
        </w:tc>
        <w:tc>
          <w:tcPr>
            <w:tcW w:w="6192" w:type="dxa"/>
            <w:tcBorders>
              <w:top w:val="single" w:sz="6" w:space="0" w:color="000000"/>
              <w:left w:val="single" w:sz="6" w:space="0" w:color="000000"/>
              <w:bottom w:val="single" w:sz="6" w:space="0" w:color="000000"/>
              <w:right w:val="single" w:sz="6" w:space="0" w:color="000000"/>
            </w:tcBorders>
            <w:shd w:val="clear" w:color="000000" w:fill="FFFFFF"/>
          </w:tcPr>
          <w:p w:rsidR="00295174" w:rsidRPr="00BE1EBA" w:rsidRDefault="00295174" w:rsidP="00295174">
            <w:pPr>
              <w:pStyle w:val="DefaultText"/>
            </w:pPr>
          </w:p>
        </w:tc>
      </w:tr>
      <w:tr w:rsidR="00295174" w:rsidRPr="00BE1EBA" w:rsidTr="00AE5F56">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AE5F56" w:rsidP="00295174">
            <w:pPr>
              <w:pStyle w:val="DefaultText21"/>
            </w:pPr>
            <w:r w:rsidRPr="00BE1EBA">
              <w:t>Courriel :</w:t>
            </w:r>
          </w:p>
        </w:tc>
        <w:tc>
          <w:tcPr>
            <w:tcW w:w="6192" w:type="dxa"/>
            <w:tcBorders>
              <w:top w:val="single" w:sz="6" w:space="0" w:color="000000"/>
              <w:left w:val="single" w:sz="6" w:space="0" w:color="000000"/>
              <w:bottom w:val="single" w:sz="6" w:space="0" w:color="000000"/>
              <w:right w:val="single" w:sz="6" w:space="0" w:color="000000"/>
            </w:tcBorders>
            <w:shd w:val="clear" w:color="000000" w:fill="FFFFFF"/>
          </w:tcPr>
          <w:p w:rsidR="00295174" w:rsidRPr="00BE1EBA" w:rsidRDefault="00295174" w:rsidP="00295174">
            <w:pPr>
              <w:pStyle w:val="DefaultText"/>
            </w:pPr>
          </w:p>
        </w:tc>
      </w:tr>
      <w:tr w:rsidR="00295174" w:rsidRPr="00BE1EBA" w:rsidTr="00295174">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1"/>
            </w:pPr>
            <w:r w:rsidRPr="00BE1EBA">
              <w:t>B</w:t>
            </w:r>
          </w:p>
          <w:p w:rsidR="00295174" w:rsidRPr="00BE1EBA" w:rsidRDefault="00295174" w:rsidP="00295174">
            <w:pPr>
              <w:pStyle w:val="DefaultText1"/>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295174" w:rsidP="00295174">
            <w:pPr>
              <w:pStyle w:val="DefaultText1"/>
            </w:pPr>
            <w:r w:rsidRPr="00BE1EBA">
              <w:rPr>
                <w:b/>
              </w:rPr>
              <w:t>Pour recevoir les demandes de soumissions en lien</w:t>
            </w:r>
            <w:r w:rsidRPr="00BE1EBA">
              <w:t xml:space="preserve"> avec l</w:t>
            </w:r>
            <w:r w:rsidR="00812400" w:rsidRPr="00BE1EBA">
              <w:t>’</w:t>
            </w:r>
            <w:r w:rsidRPr="00BE1EBA">
              <w:t>AMA subséquent (le Canada ne communiquera qu</w:t>
            </w:r>
            <w:r w:rsidR="00812400" w:rsidRPr="00BE1EBA">
              <w:t>’</w:t>
            </w:r>
            <w:r w:rsidRPr="00BE1EBA">
              <w:t>avec une personne</w:t>
            </w:r>
            <w:r w:rsidR="003262E1" w:rsidRPr="00BE1EBA">
              <w:t>­</w:t>
            </w:r>
            <w:r w:rsidRPr="00BE1EBA">
              <w:t>ressource) :</w:t>
            </w:r>
          </w:p>
        </w:tc>
      </w:tr>
      <w:tr w:rsidR="00295174" w:rsidRPr="00BE1EBA" w:rsidTr="00295174">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
            </w:pPr>
          </w:p>
        </w:tc>
        <w:tc>
          <w:tcPr>
            <w:tcW w:w="8076" w:type="dxa"/>
            <w:gridSpan w:val="2"/>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AE5F56" w:rsidP="00295174">
            <w:pPr>
              <w:pStyle w:val="DefaultText21"/>
            </w:pPr>
            <w:r w:rsidRPr="00BE1EBA">
              <w:t>Nom :</w:t>
            </w:r>
          </w:p>
        </w:tc>
      </w:tr>
      <w:tr w:rsidR="00295174" w:rsidRPr="00BE1EBA" w:rsidTr="00AE5F56">
        <w:tblPrEx>
          <w:tblBorders>
            <w:left w:val="single" w:sz="6" w:space="0" w:color="000000"/>
            <w:insideV w:val="single" w:sz="6" w:space="0" w:color="000000"/>
          </w:tblBorders>
        </w:tblPrEx>
        <w:trPr>
          <w:cantSplit/>
          <w:trHeight w:val="288"/>
        </w:trPr>
        <w:tc>
          <w:tcPr>
            <w:tcW w:w="384" w:type="dxa"/>
            <w:tcBorders>
              <w:top w:val="single" w:sz="8" w:space="0" w:color="000000"/>
              <w:left w:val="double" w:sz="8" w:space="0" w:color="000000"/>
              <w:bottom w:val="single" w:sz="8" w:space="0" w:color="000000"/>
              <w:right w:val="double" w:sz="8" w:space="0" w:color="000000"/>
            </w:tcBorders>
            <w:shd w:val="clear" w:color="000000" w:fill="FFFFFF"/>
          </w:tcPr>
          <w:p w:rsidR="00295174" w:rsidRPr="00BE1EBA" w:rsidRDefault="00295174" w:rsidP="00295174">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AE5F56" w:rsidP="00295174">
            <w:pPr>
              <w:pStyle w:val="DefaultText21"/>
            </w:pPr>
            <w:r w:rsidRPr="00BE1EBA">
              <w:t>N</w:t>
            </w:r>
            <w:r w:rsidRPr="00BE1EBA">
              <w:rPr>
                <w:vertAlign w:val="superscript"/>
              </w:rPr>
              <w:t>o</w:t>
            </w:r>
            <w:r w:rsidRPr="00BE1EBA">
              <w:t xml:space="preserve"> de Téléphone:</w:t>
            </w:r>
          </w:p>
        </w:tc>
        <w:tc>
          <w:tcPr>
            <w:tcW w:w="6192" w:type="dxa"/>
            <w:tcBorders>
              <w:top w:val="single" w:sz="6" w:space="0" w:color="000000"/>
              <w:left w:val="single" w:sz="6" w:space="0" w:color="000000"/>
              <w:bottom w:val="single" w:sz="6" w:space="0" w:color="000000"/>
              <w:right w:val="single" w:sz="6" w:space="0" w:color="000000"/>
            </w:tcBorders>
            <w:shd w:val="clear" w:color="000000" w:fill="FFFFFF"/>
          </w:tcPr>
          <w:p w:rsidR="00295174" w:rsidRPr="00BE1EBA" w:rsidRDefault="00295174" w:rsidP="00295174">
            <w:pPr>
              <w:pStyle w:val="DefaultText"/>
            </w:pPr>
          </w:p>
        </w:tc>
      </w:tr>
      <w:tr w:rsidR="00295174" w:rsidRPr="00BE1EBA" w:rsidTr="00AE5F56">
        <w:tblPrEx>
          <w:tblBorders>
            <w:left w:val="single" w:sz="6" w:space="0" w:color="000000"/>
            <w:insideV w:val="single" w:sz="6" w:space="0" w:color="000000"/>
          </w:tblBorders>
        </w:tblPrEx>
        <w:trPr>
          <w:trHeight w:val="288"/>
        </w:trPr>
        <w:tc>
          <w:tcPr>
            <w:tcW w:w="384" w:type="dxa"/>
            <w:tcBorders>
              <w:top w:val="single" w:sz="8" w:space="0" w:color="000000"/>
              <w:left w:val="double" w:sz="8" w:space="0" w:color="000000"/>
              <w:bottom w:val="double" w:sz="8" w:space="0" w:color="000000"/>
              <w:right w:val="double" w:sz="8" w:space="0" w:color="000000"/>
            </w:tcBorders>
            <w:shd w:val="clear" w:color="000000" w:fill="FFFFFF"/>
          </w:tcPr>
          <w:p w:rsidR="00295174" w:rsidRPr="00BE1EBA" w:rsidRDefault="00295174" w:rsidP="00295174">
            <w:pPr>
              <w:pStyle w:val="DefaultText"/>
            </w:pPr>
          </w:p>
        </w:tc>
        <w:tc>
          <w:tcPr>
            <w:tcW w:w="1884" w:type="dxa"/>
            <w:tcBorders>
              <w:top w:val="single" w:sz="6" w:space="0" w:color="000000"/>
              <w:left w:val="double" w:sz="8" w:space="0" w:color="000000"/>
              <w:bottom w:val="single" w:sz="6" w:space="0" w:color="000000"/>
              <w:right w:val="single" w:sz="6" w:space="0" w:color="000000"/>
            </w:tcBorders>
            <w:shd w:val="clear" w:color="000000" w:fill="FFFFFF"/>
          </w:tcPr>
          <w:p w:rsidR="00295174" w:rsidRPr="00BE1EBA" w:rsidRDefault="00AE5F56" w:rsidP="00295174">
            <w:pPr>
              <w:pStyle w:val="DefaultText21"/>
            </w:pPr>
            <w:r w:rsidRPr="00BE1EBA">
              <w:t>Courriel :</w:t>
            </w:r>
          </w:p>
        </w:tc>
        <w:tc>
          <w:tcPr>
            <w:tcW w:w="6192" w:type="dxa"/>
            <w:tcBorders>
              <w:top w:val="single" w:sz="6" w:space="0" w:color="000000"/>
              <w:left w:val="single" w:sz="6" w:space="0" w:color="000000"/>
              <w:bottom w:val="single" w:sz="6" w:space="0" w:color="000000"/>
              <w:right w:val="single" w:sz="6" w:space="0" w:color="000000"/>
            </w:tcBorders>
            <w:shd w:val="clear" w:color="000000" w:fill="FFFFFF"/>
          </w:tcPr>
          <w:p w:rsidR="00295174" w:rsidRPr="00BE1EBA" w:rsidRDefault="00295174" w:rsidP="00295174">
            <w:pPr>
              <w:pStyle w:val="DefaultText"/>
            </w:pPr>
          </w:p>
        </w:tc>
      </w:tr>
    </w:tbl>
    <w:p w:rsidR="003A135E" w:rsidRPr="00BE1EBA" w:rsidRDefault="003A135E">
      <w:pPr>
        <w:pStyle w:val="DefaultText"/>
      </w:pPr>
    </w:p>
    <w:p w:rsidR="00AF37C5" w:rsidRPr="00BE1EBA" w:rsidRDefault="00C3005A" w:rsidP="005F083B">
      <w:pPr>
        <w:pStyle w:val="ModlesEn-tte3"/>
      </w:pPr>
      <w:bookmarkStart w:id="57" w:name="_Toc412634794"/>
      <w:r w:rsidRPr="00BE1EBA">
        <w:t>6A.12.2</w:t>
      </w:r>
      <w:r w:rsidRPr="00BE1EBA">
        <w:tab/>
        <w:t>Site Web du fournisseur</w:t>
      </w:r>
      <w:bookmarkEnd w:id="57"/>
      <w:r w:rsidRPr="00BE1EBA">
        <w:br/>
      </w:r>
    </w:p>
    <w:p w:rsidR="00AF37C5" w:rsidRPr="00BE1EBA" w:rsidRDefault="00AF37C5" w:rsidP="00AF37C5">
      <w:r w:rsidRPr="00BE1EBA">
        <w:t>6A.12.2.1 L</w:t>
      </w:r>
      <w:r w:rsidR="00812400" w:rsidRPr="00BE1EBA">
        <w:t>’</w:t>
      </w:r>
      <w:r w:rsidRPr="00BE1EBA">
        <w:t>adresse du site Web du fournisseur est : __________________________ (le responsable de l</w:t>
      </w:r>
      <w:r w:rsidR="00812400" w:rsidRPr="00BE1EBA">
        <w:t>’</w:t>
      </w:r>
      <w:r w:rsidRPr="00BE1EBA">
        <w:t>AMA ajoutera ces renseignements provenant de l</w:t>
      </w:r>
      <w:r w:rsidR="00812400" w:rsidRPr="00BE1EBA">
        <w:t>’</w:t>
      </w:r>
      <w:r w:rsidRPr="00BE1EBA">
        <w:t>arrangement du fournisseur)</w:t>
      </w:r>
    </w:p>
    <w:p w:rsidR="00B13466" w:rsidRPr="00BE1EBA" w:rsidRDefault="00B13466" w:rsidP="00B13466">
      <w:r w:rsidRPr="00BE1EBA">
        <w:t>Les renseignements dont il est question au paragraphe 12.1 – Responsabilité B et qui figurent sur le site Web du fournisseur ne peuvent pas être différents de ceux contenus dans l</w:t>
      </w:r>
      <w:r w:rsidR="00812400" w:rsidRPr="00BE1EBA">
        <w:t>’</w:t>
      </w:r>
      <w:r w:rsidRPr="00BE1EBA">
        <w:t>AMA</w:t>
      </w:r>
      <w:r w:rsidR="00EF7715" w:rsidRPr="00BE1EBA">
        <w:t xml:space="preserve">. </w:t>
      </w:r>
      <w:r w:rsidRPr="00BE1EBA">
        <w:t>Toute modification qu</w:t>
      </w:r>
      <w:r w:rsidR="00812400" w:rsidRPr="00BE1EBA">
        <w:t>’</w:t>
      </w:r>
      <w:r w:rsidRPr="00BE1EBA">
        <w:t>il est proposé d</w:t>
      </w:r>
      <w:r w:rsidR="00812400" w:rsidRPr="00BE1EBA">
        <w:t>’</w:t>
      </w:r>
      <w:r w:rsidRPr="00BE1EBA">
        <w:t>apporter à ces renseignements doit être approuvée au préalable par le responsable de l</w:t>
      </w:r>
      <w:r w:rsidR="00812400" w:rsidRPr="00BE1EBA">
        <w:t>’</w:t>
      </w:r>
      <w:r w:rsidRPr="00BE1EBA">
        <w:t>AMA et être confirmée au moyen d</w:t>
      </w:r>
      <w:r w:rsidR="00812400" w:rsidRPr="00BE1EBA">
        <w:t>’</w:t>
      </w:r>
      <w:r w:rsidRPr="00BE1EBA">
        <w:t>une révision de l</w:t>
      </w:r>
      <w:r w:rsidR="00812400" w:rsidRPr="00BE1EBA">
        <w:t>’</w:t>
      </w:r>
      <w:r w:rsidRPr="00BE1EBA">
        <w:t>AMA publiée par le responsable de l</w:t>
      </w:r>
      <w:r w:rsidR="00812400" w:rsidRPr="00BE1EBA">
        <w:t>’</w:t>
      </w:r>
      <w:r w:rsidRPr="00BE1EBA">
        <w:t>AMA</w:t>
      </w:r>
      <w:r w:rsidR="00EF7715" w:rsidRPr="00BE1EBA">
        <w:t xml:space="preserve">. </w:t>
      </w:r>
      <w:r w:rsidRPr="00BE1EBA">
        <w:t>Une fois la révision publiée, le fournisseur peut mettre à jour son site Web</w:t>
      </w:r>
      <w:r w:rsidR="00EF7715" w:rsidRPr="00BE1EBA">
        <w:t xml:space="preserve">. </w:t>
      </w:r>
    </w:p>
    <w:p w:rsidR="00AF37C5" w:rsidRPr="00BE1EBA" w:rsidRDefault="00AF37C5" w:rsidP="005F083B">
      <w:pPr>
        <w:pStyle w:val="ModlesEn-tte3"/>
      </w:pPr>
      <w:bookmarkStart w:id="58" w:name="_Toc412634795"/>
      <w:r w:rsidRPr="00BE1EBA">
        <w:t>6A. 12.2.2 Langue officielle du fournisseur</w:t>
      </w:r>
      <w:bookmarkEnd w:id="58"/>
    </w:p>
    <w:p w:rsidR="00AF37C5" w:rsidRPr="00BE1EBA" w:rsidRDefault="00AF37C5" w:rsidP="00AF37C5">
      <w:r w:rsidRPr="00BE1EBA">
        <w:t>Pendant la période de l</w:t>
      </w:r>
      <w:r w:rsidR="00812400" w:rsidRPr="00BE1EBA">
        <w:t>’</w:t>
      </w:r>
      <w:r w:rsidRPr="00BE1EBA">
        <w:t>AMA, le Canada transmettra au fournisseur les demandes de soumissions et les contrats subséquents dans les langues officielles suivantes :</w:t>
      </w:r>
    </w:p>
    <w:p w:rsidR="00AF37C5" w:rsidRPr="00BE1EBA" w:rsidRDefault="00AF37C5" w:rsidP="00AF37C5"/>
    <w:p w:rsidR="00AF37C5" w:rsidRPr="00BE1EBA" w:rsidRDefault="00AF37C5" w:rsidP="00AF37C5">
      <w:r w:rsidRPr="00BE1EBA">
        <w:t>_____________________ (le responsable de l</w:t>
      </w:r>
      <w:r w:rsidR="00812400" w:rsidRPr="00BE1EBA">
        <w:t>’</w:t>
      </w:r>
      <w:r w:rsidRPr="00BE1EBA">
        <w:t>AMA établira la liste des langues choisies par le fournisseur dans son arrangement.)</w:t>
      </w:r>
      <w:r w:rsidR="002A6210" w:rsidRPr="00BE1EBA">
        <w:t xml:space="preserve"> </w:t>
      </w:r>
    </w:p>
    <w:p w:rsidR="00AF37C5" w:rsidRPr="00BE1EBA" w:rsidRDefault="00AF37C5" w:rsidP="005F083B">
      <w:pPr>
        <w:pStyle w:val="ModlesEn-tte3"/>
      </w:pPr>
      <w:r w:rsidRPr="00BE1EBA">
        <w:t>6A.13</w:t>
      </w:r>
      <w:r w:rsidRPr="00BE1EBA">
        <w:tab/>
        <w:t>Paiement par carte de crédit (le responsable de l</w:t>
      </w:r>
      <w:r w:rsidR="00812400" w:rsidRPr="00BE1EBA">
        <w:t>’</w:t>
      </w:r>
      <w:r w:rsidRPr="00BE1EBA">
        <w:t>AMA ajoutera les renseignements provenant de l</w:t>
      </w:r>
      <w:r w:rsidR="00812400" w:rsidRPr="00BE1EBA">
        <w:t>’</w:t>
      </w:r>
      <w:r w:rsidRPr="00BE1EBA">
        <w:t>arrangement du fournisseur).</w:t>
      </w:r>
    </w:p>
    <w:p w:rsidR="00AF37C5" w:rsidRPr="00BE1EBA" w:rsidRDefault="00AF37C5" w:rsidP="00AF37C5">
      <w:pPr>
        <w:rPr>
          <w:lang w:val="en-CA"/>
        </w:rPr>
      </w:pPr>
      <w:r w:rsidRPr="00BE1EBA">
        <w:rPr>
          <w:lang w:val="en-CA"/>
        </w:rPr>
        <w:t>The credit card __________ is accepted.</w:t>
      </w:r>
    </w:p>
    <w:p w:rsidR="00AF37C5" w:rsidRPr="00BE1EBA" w:rsidRDefault="00AF37C5" w:rsidP="00AF37C5">
      <w:pPr>
        <w:rPr>
          <w:lang w:val="en-CA"/>
        </w:rPr>
      </w:pPr>
      <w:r w:rsidRPr="00BE1EBA">
        <w:rPr>
          <w:lang w:val="en-CA"/>
        </w:rPr>
        <w:t>Or</w:t>
      </w:r>
    </w:p>
    <w:p w:rsidR="00AF37C5" w:rsidRPr="00BE1EBA" w:rsidRDefault="00AF37C5" w:rsidP="00AF37C5">
      <w:pPr>
        <w:rPr>
          <w:lang w:val="en-CA"/>
        </w:rPr>
      </w:pPr>
      <w:r w:rsidRPr="00BE1EBA">
        <w:rPr>
          <w:lang w:val="en-CA"/>
        </w:rPr>
        <w:t xml:space="preserve"> </w:t>
      </w:r>
      <w:r w:rsidRPr="00BE1EBA">
        <w:rPr>
          <w:lang w:val="en-CA"/>
        </w:rPr>
        <w:br/>
        <w:t>The credit cards _________ and _________ are accepted.</w:t>
      </w:r>
    </w:p>
    <w:p w:rsidR="00AF37C5" w:rsidRPr="00BE1EBA" w:rsidRDefault="00AF37C5" w:rsidP="00AF37C5">
      <w:r w:rsidRPr="00F85506">
        <w:rPr>
          <w:b/>
        </w:rPr>
        <w:t>6A.13</w:t>
      </w:r>
      <w:r w:rsidRPr="00BE1EBA">
        <w:tab/>
        <w:t>Paiement par carte de crédit (le responsable de l</w:t>
      </w:r>
      <w:r w:rsidR="00812400" w:rsidRPr="00BE1EBA">
        <w:t>’</w:t>
      </w:r>
      <w:r w:rsidRPr="00BE1EBA">
        <w:t>AMA ajoutera les renseignements provenant de l</w:t>
      </w:r>
      <w:r w:rsidR="00812400" w:rsidRPr="00BE1EBA">
        <w:t>’</w:t>
      </w:r>
      <w:r w:rsidRPr="00BE1EBA">
        <w:t>arrangement du fournisseur).</w:t>
      </w:r>
    </w:p>
    <w:p w:rsidR="00AF37C5" w:rsidRPr="00BE1EBA" w:rsidRDefault="00AF37C5" w:rsidP="00AF37C5">
      <w:r w:rsidRPr="00BE1EBA">
        <w:t>La carte de crédit __________ est acceptée.</w:t>
      </w:r>
    </w:p>
    <w:p w:rsidR="00AF37C5" w:rsidRPr="00BE1EBA" w:rsidRDefault="00AF37C5" w:rsidP="00AF37C5">
      <w:r w:rsidRPr="00BE1EBA">
        <w:t>ou</w:t>
      </w:r>
    </w:p>
    <w:p w:rsidR="00AF37C5" w:rsidRPr="00BE1EBA" w:rsidRDefault="00AF37C5" w:rsidP="00AF37C5">
      <w:r w:rsidRPr="00BE1EBA">
        <w:lastRenderedPageBreak/>
        <w:t xml:space="preserve"> </w:t>
      </w:r>
      <w:r w:rsidRPr="00BE1EBA">
        <w:br/>
        <w:t>Les cartes de crédit _________ et _________ sont acceptées.</w:t>
      </w:r>
    </w:p>
    <w:p w:rsidR="00AF37C5" w:rsidRPr="00BE1EBA" w:rsidRDefault="00AF37C5" w:rsidP="00AF37C5">
      <w:r w:rsidRPr="00BE1EBA">
        <w:t xml:space="preserve">ou </w:t>
      </w:r>
    </w:p>
    <w:p w:rsidR="00AF37C5" w:rsidRPr="00BE1EBA" w:rsidRDefault="00AF37C5" w:rsidP="00AF37C5">
      <w:r w:rsidRPr="00BE1EBA">
        <w:t>Les cartes de crédit ne sont pas acceptées.</w:t>
      </w:r>
    </w:p>
    <w:p w:rsidR="00AF37C5" w:rsidRPr="00BE1EBA" w:rsidRDefault="00AF37C5" w:rsidP="00232778">
      <w:pPr>
        <w:pStyle w:val="ModlesEn-tte2"/>
      </w:pPr>
      <w:bookmarkStart w:id="59" w:name="_Toc413070288"/>
      <w:r w:rsidRPr="00BE1EBA">
        <w:t>6A.14</w:t>
      </w:r>
      <w:r w:rsidRPr="00BE1EBA">
        <w:tab/>
        <w:t>Portée des travaux du fournisseur (étendue géographique)</w:t>
      </w:r>
      <w:bookmarkEnd w:id="59"/>
    </w:p>
    <w:p w:rsidR="00AF37C5" w:rsidRPr="00BE1EBA" w:rsidRDefault="00AF37C5" w:rsidP="005F083B">
      <w:pPr>
        <w:pStyle w:val="ModlesEn-tte3"/>
      </w:pPr>
      <w:bookmarkStart w:id="60" w:name="_Toc412634798"/>
      <w:r w:rsidRPr="00BE1EBA">
        <w:t>6A.14.4.1</w:t>
      </w:r>
      <w:r w:rsidR="003262E1" w:rsidRPr="00BE1EBA">
        <w:t>­</w:t>
      </w:r>
      <w:r w:rsidRPr="00BE1EBA">
        <w:t>N</w:t>
      </w:r>
      <w:r w:rsidRPr="00BE1EBA">
        <w:tab/>
        <w:t>Portée nationale</w:t>
      </w:r>
      <w:bookmarkEnd w:id="60"/>
      <w:r w:rsidRPr="00BE1EBA">
        <w:t xml:space="preserve"> </w:t>
      </w:r>
    </w:p>
    <w:p w:rsidR="00AF37C5" w:rsidRPr="00BE1EBA" w:rsidRDefault="00AF37C5" w:rsidP="00AF37C5">
      <w:r w:rsidRPr="00BE1EBA">
        <w:t>Les éléments suivants seront inclus dans l</w:t>
      </w:r>
      <w:r w:rsidR="00812400" w:rsidRPr="00BE1EBA">
        <w:t>’</w:t>
      </w:r>
      <w:r w:rsidRPr="00BE1EBA">
        <w:t>AMA destiné aux fournisseurs visés par la SAEA dont l</w:t>
      </w:r>
      <w:r w:rsidR="00812400" w:rsidRPr="00BE1EBA">
        <w:t>’</w:t>
      </w:r>
      <w:r w:rsidRPr="00BE1EBA">
        <w:t>arrangement concerne l</w:t>
      </w:r>
      <w:r w:rsidR="00812400" w:rsidRPr="00BE1EBA">
        <w:t>’</w:t>
      </w:r>
      <w:r w:rsidRPr="00BE1EBA">
        <w:t>ensemble du pays, et à tous les fournisseurs généraux</w:t>
      </w:r>
      <w:r w:rsidR="00EF7715" w:rsidRPr="00BE1EBA">
        <w:t xml:space="preserve">. </w:t>
      </w:r>
      <w:r w:rsidRPr="00BE1EBA">
        <w:t>Les instructions de ce paragraphe ne seront pas incluses dans l</w:t>
      </w:r>
      <w:r w:rsidR="00812400" w:rsidRPr="00BE1EBA">
        <w:t>’</w:t>
      </w:r>
      <w:r w:rsidRPr="00BE1EBA">
        <w:t>AMA subséquent.</w:t>
      </w:r>
    </w:p>
    <w:p w:rsidR="00637FDC" w:rsidRPr="00BE1EBA" w:rsidRDefault="00AF37C5">
      <w:pPr>
        <w:spacing w:after="0"/>
      </w:pPr>
      <w:r w:rsidRPr="00BE1EBA">
        <w:t>1.</w:t>
      </w:r>
      <w:r w:rsidRPr="00BE1EBA">
        <w:tab/>
        <w:t>Le fournisseur et ses distributeurs agréés doivent exécuter les travaux décrits à l</w:t>
      </w:r>
      <w:r w:rsidR="00812400" w:rsidRPr="00BE1EBA">
        <w:t>’</w:t>
      </w:r>
      <w:r w:rsidRPr="00BE1EBA">
        <w:t>Annexe A dans toutes les régions énumérées au tableau 1 ci</w:t>
      </w:r>
      <w:r w:rsidR="003262E1" w:rsidRPr="00BE1EBA">
        <w:t>­</w:t>
      </w:r>
      <w:r w:rsidRPr="00BE1EBA">
        <w:t>dessous et pour tous les utilisateurs désignés dans ces régions</w:t>
      </w:r>
      <w:r w:rsidR="00EF7715" w:rsidRPr="00BE1EBA">
        <w:t xml:space="preserve">. </w:t>
      </w:r>
      <w:r w:rsidRPr="00BE1EBA">
        <w:t>Cependant, aucun travail ni aucune livraison ne peuvent être réalisés dans les régions visées par les ERTG</w:t>
      </w:r>
      <w:r w:rsidR="00EF7715" w:rsidRPr="00BE1EBA">
        <w:t xml:space="preserve">. </w:t>
      </w:r>
      <w:r w:rsidRPr="00BE1EBA">
        <w:t>Plus d</w:t>
      </w:r>
      <w:r w:rsidR="00812400" w:rsidRPr="00BE1EBA">
        <w:t>’</w:t>
      </w:r>
      <w:r w:rsidRPr="00BE1EBA">
        <w:t>un distributeur agréé peut desservir chaque région.</w:t>
      </w:r>
      <w:r w:rsidRPr="00BE1EBA">
        <w:cr/>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28"/>
        <w:gridCol w:w="6352"/>
      </w:tblGrid>
      <w:tr w:rsidR="00637FDC" w:rsidRPr="00BE1EBA" w:rsidTr="00C3005A">
        <w:trPr>
          <w:trHeight w:val="288"/>
        </w:trPr>
        <w:tc>
          <w:tcPr>
            <w:tcW w:w="82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Tableau 1</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Région</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rPr>
                <w:b/>
              </w:rPr>
              <w:t>Description de l</w:t>
            </w:r>
            <w:r w:rsidR="00812400" w:rsidRPr="00BE1EBA">
              <w:rPr>
                <w:b/>
              </w:rPr>
              <w:t>’</w:t>
            </w:r>
            <w:r w:rsidRPr="00BE1EBA">
              <w:rPr>
                <w:b/>
              </w:rPr>
              <w:t xml:space="preserve">étendue géographique : </w:t>
            </w:r>
            <w:r w:rsidRPr="00BE1EBA">
              <w:t>dans tout le Canada, à l</w:t>
            </w:r>
            <w:r w:rsidR="00812400" w:rsidRPr="00BE1EBA">
              <w:t>’</w:t>
            </w:r>
            <w:r w:rsidRPr="00BE1EBA">
              <w:t>exception des zones assujetties à des ERTG</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Pacifique</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 de la Colombie</w:t>
            </w:r>
            <w:r w:rsidR="003262E1" w:rsidRPr="00BE1EBA">
              <w:t>­</w:t>
            </w:r>
            <w:r w:rsidRPr="00BE1EBA">
              <w:t>Britannique</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Ouest</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Provinces de l</w:t>
            </w:r>
            <w:r w:rsidR="00812400" w:rsidRPr="00BE1EBA">
              <w:t>’</w:t>
            </w:r>
            <w:r w:rsidRPr="00BE1EBA">
              <w:t>Alberta, de la Saskatchewan et du Manitoba</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Ontario</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 de l</w:t>
            </w:r>
            <w:r w:rsidR="00812400" w:rsidRPr="00BE1EBA">
              <w:t>’</w:t>
            </w:r>
            <w:r w:rsidRPr="00BE1EBA">
              <w:t>Ontario, à l</w:t>
            </w:r>
            <w:r w:rsidR="00812400" w:rsidRPr="00BE1EBA">
              <w:t>’</w:t>
            </w:r>
            <w:r w:rsidRPr="00BE1EBA">
              <w:t>exception du Secteur de la capitale nationale</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Secteur de la capitale nationale</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Limité à l</w:t>
            </w:r>
            <w:r w:rsidR="00812400" w:rsidRPr="00BE1EBA">
              <w:t>’</w:t>
            </w:r>
            <w:r w:rsidRPr="00BE1EBA">
              <w:t>ouest par une ligne nord</w:t>
            </w:r>
            <w:r w:rsidR="003262E1" w:rsidRPr="00BE1EBA">
              <w:t>­</w:t>
            </w:r>
            <w:r w:rsidRPr="00BE1EBA">
              <w:t>sud allant de Petawawa à Kingston, au nord jusqu</w:t>
            </w:r>
            <w:r w:rsidR="00812400" w:rsidRPr="00BE1EBA">
              <w:t>’</w:t>
            </w:r>
            <w:r w:rsidRPr="00BE1EBA">
              <w:t>à Maniwaki (Québec), à l</w:t>
            </w:r>
            <w:r w:rsidR="00812400" w:rsidRPr="00BE1EBA">
              <w:t>’</w:t>
            </w:r>
            <w:r w:rsidRPr="00BE1EBA">
              <w:t>est par la frontière entre l</w:t>
            </w:r>
            <w:r w:rsidR="00812400" w:rsidRPr="00BE1EBA">
              <w:t>’</w:t>
            </w:r>
            <w:r w:rsidRPr="00BE1EBA">
              <w:t>Ontario et le Québec, au sud par le fleuve Saint</w:t>
            </w:r>
            <w:r w:rsidR="003262E1" w:rsidRPr="00BE1EBA">
              <w:t>­</w:t>
            </w:r>
            <w:r w:rsidRPr="00BE1EBA">
              <w:t>Laurent (y compris les régions Gatineau</w:t>
            </w:r>
            <w:r w:rsidR="003262E1" w:rsidRPr="00BE1EBA">
              <w:t>­</w:t>
            </w:r>
            <w:r w:rsidRPr="00BE1EBA">
              <w:t>Maniwaki).</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Québec</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 de Québec à l</w:t>
            </w:r>
            <w:r w:rsidR="00812400" w:rsidRPr="00BE1EBA">
              <w:t>’</w:t>
            </w:r>
            <w:r w:rsidRPr="00BE1EBA">
              <w:t>exception du Secteur de la capitale nationale.</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Atlantique</w:t>
            </w:r>
          </w:p>
        </w:tc>
        <w:tc>
          <w:tcPr>
            <w:tcW w:w="6352"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625160">
            <w:r w:rsidRPr="00BE1EBA">
              <w:t>Provinces de la Nouvelle</w:t>
            </w:r>
            <w:r w:rsidR="003262E1" w:rsidRPr="00BE1EBA">
              <w:t>­</w:t>
            </w:r>
            <w:r w:rsidRPr="00BE1EBA">
              <w:t>Écosse, du Nouveau</w:t>
            </w:r>
            <w:r w:rsidR="003262E1" w:rsidRPr="00BE1EBA">
              <w:t>­</w:t>
            </w:r>
            <w:r w:rsidRPr="00BE1EBA">
              <w:t>Brunswick, de l</w:t>
            </w:r>
            <w:r w:rsidR="00812400" w:rsidRPr="00BE1EBA">
              <w:t>’</w:t>
            </w:r>
            <w:r w:rsidRPr="00BE1EBA">
              <w:t>Île</w:t>
            </w:r>
            <w:r w:rsidR="003262E1" w:rsidRPr="00BE1EBA">
              <w:t>­</w:t>
            </w:r>
            <w:r w:rsidRPr="00BE1EBA">
              <w:t>du</w:t>
            </w:r>
            <w:r w:rsidR="003262E1" w:rsidRPr="00BE1EBA">
              <w:t>­</w:t>
            </w:r>
            <w:r w:rsidRPr="00BE1EBA">
              <w:t>Prince</w:t>
            </w:r>
            <w:r w:rsidR="003262E1" w:rsidRPr="00BE1EBA">
              <w:t>­</w:t>
            </w:r>
            <w:r w:rsidRPr="00BE1EBA">
              <w:t>Édouard, de Terre</w:t>
            </w:r>
            <w:r w:rsidR="003262E1" w:rsidRPr="00BE1EBA">
              <w:t>­</w:t>
            </w:r>
            <w:r w:rsidRPr="00BE1EBA">
              <w:t>Neuve</w:t>
            </w:r>
            <w:r w:rsidR="003262E1" w:rsidRPr="00BE1EBA">
              <w:t>­</w:t>
            </w:r>
            <w:r w:rsidRPr="00BE1EBA">
              <w:t>et</w:t>
            </w:r>
            <w:r w:rsidR="003262E1" w:rsidRPr="00BE1EBA">
              <w:t>­</w:t>
            </w:r>
            <w:r w:rsidRPr="00BE1EBA">
              <w:t>Labrador, à l</w:t>
            </w:r>
            <w:r w:rsidR="00812400" w:rsidRPr="00BE1EBA">
              <w:t>’</w:t>
            </w:r>
            <w:r w:rsidRPr="00BE1EBA">
              <w:t>exception du Nordlabrador.</w:t>
            </w:r>
          </w:p>
        </w:tc>
      </w:tr>
    </w:tbl>
    <w:p w:rsidR="00637FDC" w:rsidRPr="00BE1EBA" w:rsidRDefault="00637FDC" w:rsidP="00637FDC"/>
    <w:p w:rsidR="00637FDC" w:rsidRPr="00BE1EBA" w:rsidRDefault="00637FDC" w:rsidP="005F083B">
      <w:pPr>
        <w:pStyle w:val="ModlesEn-tte3"/>
      </w:pPr>
      <w:bookmarkStart w:id="61" w:name="_Toc412634799"/>
      <w:r w:rsidRPr="00BE1EBA">
        <w:t>6A.14.4.1</w:t>
      </w:r>
      <w:r w:rsidR="003262E1" w:rsidRPr="00BE1EBA">
        <w:t>­</w:t>
      </w:r>
      <w:r w:rsidRPr="00BE1EBA">
        <w:t>R</w:t>
      </w:r>
      <w:r w:rsidRPr="00BE1EBA">
        <w:tab/>
        <w:t>Portée régionale</w:t>
      </w:r>
      <w:bookmarkEnd w:id="61"/>
    </w:p>
    <w:p w:rsidR="00637FDC" w:rsidRPr="00BE1EBA" w:rsidRDefault="00637FDC" w:rsidP="00637FDC">
      <w:r w:rsidRPr="00BE1EBA">
        <w:t>Les éléments suivants seront inclus dans l</w:t>
      </w:r>
      <w:r w:rsidR="00812400" w:rsidRPr="00BE1EBA">
        <w:t>’</w:t>
      </w:r>
      <w:r w:rsidRPr="00BE1EBA">
        <w:t>AMA destiné aux fournisseurs visés par la SAEA qui proposent dans leur arrangement une portée régionale plutôt que nationale</w:t>
      </w:r>
      <w:r w:rsidR="00EF7715" w:rsidRPr="00BE1EBA">
        <w:t xml:space="preserve">. </w:t>
      </w:r>
      <w:r w:rsidRPr="00BE1EBA">
        <w:t>Seules les régions proposées par le fournisseur dans son arrangement seront incluses dans le tableau</w:t>
      </w:r>
      <w:r w:rsidR="00EF7715" w:rsidRPr="00BE1EBA">
        <w:t xml:space="preserve">. </w:t>
      </w:r>
      <w:r w:rsidRPr="00BE1EBA">
        <w:t>Les instructions de ce paragraphe ne seront pas incluses dans l</w:t>
      </w:r>
      <w:r w:rsidR="00812400" w:rsidRPr="00BE1EBA">
        <w:t>’</w:t>
      </w:r>
      <w:r w:rsidRPr="00BE1EBA">
        <w:t>AMA subséquent.</w:t>
      </w:r>
    </w:p>
    <w:p w:rsidR="00637FDC" w:rsidRPr="00BE1EBA" w:rsidRDefault="00637FDC" w:rsidP="00637FDC">
      <w:r w:rsidRPr="00BE1EBA">
        <w:t>1.</w:t>
      </w:r>
      <w:r w:rsidRPr="00BE1EBA">
        <w:tab/>
        <w:t>Le fournisseur et ses distributeurs agréés doivent exécuter les travaux décrits à l</w:t>
      </w:r>
      <w:r w:rsidR="00812400" w:rsidRPr="00BE1EBA">
        <w:t>’</w:t>
      </w:r>
      <w:r w:rsidRPr="00BE1EBA">
        <w:t>Annexe A dans toutes les régions énumérées au tableau 1 ci</w:t>
      </w:r>
      <w:r w:rsidR="003262E1" w:rsidRPr="00BE1EBA">
        <w:t>­</w:t>
      </w:r>
      <w:r w:rsidRPr="00BE1EBA">
        <w:t>dessous et pour tous les utilisateurs désignés dans ces régions</w:t>
      </w:r>
      <w:r w:rsidR="00EF7715" w:rsidRPr="00BE1EBA">
        <w:t xml:space="preserve">. </w:t>
      </w:r>
      <w:r w:rsidRPr="00BE1EBA">
        <w:t>Cependant, aucun travail ni aucune livraison ne peuvent être réalisés dans les régions visées par les ERTG</w:t>
      </w:r>
      <w:r w:rsidR="00EF7715" w:rsidRPr="00BE1EBA">
        <w:t xml:space="preserve">. </w:t>
      </w:r>
      <w:r w:rsidRPr="00BE1EBA">
        <w:t>Plus d</w:t>
      </w:r>
      <w:r w:rsidR="00812400" w:rsidRPr="00BE1EBA">
        <w:t>’</w:t>
      </w:r>
      <w:r w:rsidRPr="00BE1EBA">
        <w:t>un distributeur agréé peut desservir chaque région.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28"/>
        <w:gridCol w:w="7155"/>
      </w:tblGrid>
      <w:tr w:rsidR="00637FDC" w:rsidRPr="00BE1EBA" w:rsidTr="00C3005A">
        <w:trPr>
          <w:trHeight w:val="288"/>
        </w:trPr>
        <w:tc>
          <w:tcPr>
            <w:tcW w:w="9083" w:type="dxa"/>
            <w:gridSpan w:val="2"/>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Tableau 1</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pPr>
              <w:pStyle w:val="DefaultText"/>
            </w:pP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rPr>
                <w:b/>
              </w:rPr>
              <w:t>Description de l</w:t>
            </w:r>
            <w:r w:rsidR="00812400" w:rsidRPr="00BE1EBA">
              <w:rPr>
                <w:b/>
              </w:rPr>
              <w:t>’</w:t>
            </w:r>
            <w:r w:rsidRPr="00BE1EBA">
              <w:rPr>
                <w:b/>
              </w:rPr>
              <w:t xml:space="preserve">étendue géographique : </w:t>
            </w:r>
            <w:r w:rsidRPr="00BE1EBA">
              <w:t>dans tout le Canada, à l</w:t>
            </w:r>
            <w:r w:rsidR="00812400" w:rsidRPr="00BE1EBA">
              <w:t>’</w:t>
            </w:r>
            <w:r w:rsidRPr="00BE1EBA">
              <w:t>exception des zones assujetties à des ERTG</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Pacifique</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 de la Colombie</w:t>
            </w:r>
            <w:r w:rsidR="003262E1" w:rsidRPr="00BE1EBA">
              <w:t>­</w:t>
            </w:r>
            <w:r w:rsidRPr="00BE1EBA">
              <w:t>Britannique</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lastRenderedPageBreak/>
              <w:t>Région de l</w:t>
            </w:r>
            <w:r w:rsidR="00812400" w:rsidRPr="00BE1EBA">
              <w:t>’</w:t>
            </w:r>
            <w:r w:rsidRPr="00BE1EBA">
              <w:t>Ouest</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Provinces de l</w:t>
            </w:r>
            <w:r w:rsidR="00812400" w:rsidRPr="00BE1EBA">
              <w:t>’</w:t>
            </w:r>
            <w:r w:rsidRPr="00BE1EBA">
              <w:t>Alberta, de la Saskatchewan et du Manitoba</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Ontario</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 de l</w:t>
            </w:r>
            <w:r w:rsidR="00812400" w:rsidRPr="00BE1EBA">
              <w:t>’</w:t>
            </w:r>
            <w:r w:rsidRPr="00BE1EBA">
              <w:t>Ontario, à l</w:t>
            </w:r>
            <w:r w:rsidR="00812400" w:rsidRPr="00BE1EBA">
              <w:t>’</w:t>
            </w:r>
            <w:r w:rsidRPr="00BE1EBA">
              <w:t>exception du Secteur de la capitale nationale</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Secteur de la capitale nationale</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Limité à l</w:t>
            </w:r>
            <w:r w:rsidR="00812400" w:rsidRPr="00BE1EBA">
              <w:t>’</w:t>
            </w:r>
            <w:r w:rsidRPr="00BE1EBA">
              <w:t>ouest par une ligne nord</w:t>
            </w:r>
            <w:r w:rsidR="003262E1" w:rsidRPr="00BE1EBA">
              <w:t>­</w:t>
            </w:r>
            <w:r w:rsidRPr="00BE1EBA">
              <w:t>sud allant de Petawawa à Kingston, au nord jusqu</w:t>
            </w:r>
            <w:r w:rsidR="00812400" w:rsidRPr="00BE1EBA">
              <w:t>’</w:t>
            </w:r>
            <w:r w:rsidRPr="00BE1EBA">
              <w:t>à Maniwaki (Québec), à l</w:t>
            </w:r>
            <w:r w:rsidR="00812400" w:rsidRPr="00BE1EBA">
              <w:t>’</w:t>
            </w:r>
            <w:r w:rsidRPr="00BE1EBA">
              <w:t>est par la frontière entre l</w:t>
            </w:r>
            <w:r w:rsidR="00812400" w:rsidRPr="00BE1EBA">
              <w:t>’</w:t>
            </w:r>
            <w:r w:rsidRPr="00BE1EBA">
              <w:t>Ontario et le Québec, au sud par le fleuve Saint</w:t>
            </w:r>
            <w:r w:rsidR="003262E1" w:rsidRPr="00BE1EBA">
              <w:t>­</w:t>
            </w:r>
            <w:r w:rsidRPr="00BE1EBA">
              <w:t>Laurent (y compris les régions Gatineau</w:t>
            </w:r>
            <w:r w:rsidR="003262E1" w:rsidRPr="00BE1EBA">
              <w:t>­</w:t>
            </w:r>
            <w:r w:rsidRPr="00BE1EBA">
              <w:t>Maniwaki).</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Québec</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 de Québec à l</w:t>
            </w:r>
            <w:r w:rsidR="00812400" w:rsidRPr="00BE1EBA">
              <w:t>’</w:t>
            </w:r>
            <w:r w:rsidRPr="00BE1EBA">
              <w:t>exception du Secteur de la capitale nationale.</w:t>
            </w:r>
          </w:p>
        </w:tc>
      </w:tr>
      <w:tr w:rsidR="00637FDC" w:rsidRPr="00BE1EBA" w:rsidTr="00C3005A">
        <w:trPr>
          <w:trHeight w:val="288"/>
        </w:trPr>
        <w:tc>
          <w:tcPr>
            <w:tcW w:w="1928"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Atlantique</w:t>
            </w:r>
          </w:p>
        </w:tc>
        <w:tc>
          <w:tcPr>
            <w:tcW w:w="7155" w:type="dxa"/>
            <w:tcBorders>
              <w:top w:val="single" w:sz="6" w:space="0" w:color="000000"/>
              <w:left w:val="single" w:sz="6" w:space="0" w:color="000000"/>
              <w:bottom w:val="single" w:sz="6" w:space="0" w:color="000000"/>
              <w:right w:val="single" w:sz="6" w:space="0" w:color="000000"/>
            </w:tcBorders>
            <w:shd w:val="clear" w:color="000000" w:fill="FFFFFF"/>
          </w:tcPr>
          <w:p w:rsidR="00637FDC" w:rsidRPr="00BE1EBA" w:rsidRDefault="00637FDC" w:rsidP="00C3005A">
            <w:r w:rsidRPr="00BE1EBA">
              <w:t>Provinces de la Nouvelle</w:t>
            </w:r>
            <w:r w:rsidR="003262E1" w:rsidRPr="00BE1EBA">
              <w:t>­</w:t>
            </w:r>
            <w:r w:rsidRPr="00BE1EBA">
              <w:t>Écosse, du Nouveau</w:t>
            </w:r>
            <w:r w:rsidR="003262E1" w:rsidRPr="00BE1EBA">
              <w:t>­</w:t>
            </w:r>
            <w:r w:rsidRPr="00BE1EBA">
              <w:t>Brunswick, de l</w:t>
            </w:r>
            <w:r w:rsidR="00812400" w:rsidRPr="00BE1EBA">
              <w:t>’</w:t>
            </w:r>
            <w:r w:rsidRPr="00BE1EBA">
              <w:t>Île</w:t>
            </w:r>
            <w:r w:rsidR="003262E1" w:rsidRPr="00BE1EBA">
              <w:t>­</w:t>
            </w:r>
            <w:r w:rsidRPr="00BE1EBA">
              <w:t>du</w:t>
            </w:r>
            <w:r w:rsidR="003262E1" w:rsidRPr="00BE1EBA">
              <w:t>­</w:t>
            </w:r>
            <w:r w:rsidRPr="00BE1EBA">
              <w:t>Prince</w:t>
            </w:r>
            <w:r w:rsidR="003262E1" w:rsidRPr="00BE1EBA">
              <w:t>­</w:t>
            </w:r>
            <w:r w:rsidRPr="00BE1EBA">
              <w:t>Édouard, de Terre</w:t>
            </w:r>
            <w:r w:rsidR="003262E1" w:rsidRPr="00BE1EBA">
              <w:t>­</w:t>
            </w:r>
            <w:r w:rsidRPr="00BE1EBA">
              <w:t>Neuve</w:t>
            </w:r>
            <w:r w:rsidR="003262E1" w:rsidRPr="00BE1EBA">
              <w:t>­</w:t>
            </w:r>
            <w:r w:rsidRPr="00BE1EBA">
              <w:t>et</w:t>
            </w:r>
            <w:r w:rsidR="003262E1" w:rsidRPr="00BE1EBA">
              <w:t>­</w:t>
            </w:r>
            <w:r w:rsidRPr="00BE1EBA">
              <w:t>Labrador, à l</w:t>
            </w:r>
            <w:r w:rsidR="00812400" w:rsidRPr="00BE1EBA">
              <w:t>’</w:t>
            </w:r>
            <w:r w:rsidRPr="00BE1EBA">
              <w:t>exception du Nordlabrador.</w:t>
            </w:r>
          </w:p>
        </w:tc>
      </w:tr>
    </w:tbl>
    <w:p w:rsidR="00637FDC" w:rsidRPr="00BE1EBA" w:rsidRDefault="00637FDC" w:rsidP="00637FDC"/>
    <w:p w:rsidR="00637FDC" w:rsidRPr="00BE1EBA" w:rsidRDefault="00637FDC" w:rsidP="005F083B">
      <w:pPr>
        <w:pStyle w:val="ModlesEn-tte3"/>
      </w:pPr>
      <w:bookmarkStart w:id="62" w:name="_Toc412634800"/>
      <w:r w:rsidRPr="00BE1EBA">
        <w:t>6A.14.5</w:t>
      </w:r>
      <w:r w:rsidRPr="00BE1EBA">
        <w:tab/>
      </w:r>
      <w:r w:rsidRPr="00BE1EBA">
        <w:tab/>
        <w:t>Portée des travaux du fournisseur (coordonnées par région)</w:t>
      </w:r>
      <w:bookmarkEnd w:id="62"/>
    </w:p>
    <w:p w:rsidR="00637FDC" w:rsidRPr="00BE1EBA" w:rsidRDefault="00637FDC" w:rsidP="00637FDC">
      <w:r w:rsidRPr="00BE1EBA">
        <w:t>Le fournisseur doit remplir et tenir à jour le tableau ci</w:t>
      </w:r>
      <w:r w:rsidR="003262E1" w:rsidRPr="00BE1EBA">
        <w:t>­</w:t>
      </w:r>
      <w:r w:rsidRPr="00BE1EBA">
        <w:t>après sur son site Web et permettre aux utilisateurs désignés d</w:t>
      </w:r>
      <w:r w:rsidR="00812400" w:rsidRPr="00BE1EBA">
        <w:t>’</w:t>
      </w:r>
      <w:r w:rsidRPr="00BE1EBA">
        <w:t>y accéder facilement sans frais pour le Canada</w:t>
      </w:r>
      <w:r w:rsidR="00EF7715" w:rsidRPr="00BE1EBA">
        <w:t xml:space="preserve">. </w:t>
      </w:r>
      <w:r w:rsidRPr="00BE1EBA">
        <w:t>On s</w:t>
      </w:r>
      <w:r w:rsidR="00812400" w:rsidRPr="00BE1EBA">
        <w:t>’</w:t>
      </w:r>
      <w:r w:rsidRPr="00BE1EBA">
        <w:t>attend à ce que des modifications soient apportées aux parties et aux coordonnées. Le fournisseur devra mettre à jour immédiatement son site Web une fois le changement effectué. Toutefois les mises à jour du site Web ne peuvent concerner que le nom et les coordonnées des parties</w:t>
      </w:r>
      <w:r w:rsidR="00EF7715" w:rsidRPr="00BE1EBA">
        <w:t xml:space="preserve">. </w:t>
      </w:r>
      <w:r w:rsidRPr="00BE1EBA">
        <w:t>Aucune mise à jour ne peut avoir force exécutoire ou modifier les modalités du sous</w:t>
      </w:r>
      <w:r w:rsidR="003262E1" w:rsidRPr="00BE1EBA">
        <w:t>­</w:t>
      </w:r>
      <w:r w:rsidRPr="00BE1EBA">
        <w:t>paragraphe 12 et celles de l</w:t>
      </w:r>
      <w:r w:rsidR="00812400" w:rsidRPr="00BE1EBA">
        <w:t>’</w:t>
      </w:r>
      <w:r w:rsidRPr="00BE1EBA">
        <w:t>AMA dans son ensemble.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370"/>
        <w:gridCol w:w="2362"/>
        <w:gridCol w:w="2366"/>
        <w:gridCol w:w="2370"/>
      </w:tblGrid>
      <w:tr w:rsidR="00637FDC" w:rsidRPr="00BE1EBA" w:rsidTr="002C7167">
        <w:tc>
          <w:tcPr>
            <w:tcW w:w="9468" w:type="dxa"/>
            <w:gridSpan w:val="4"/>
          </w:tcPr>
          <w:p w:rsidR="00637FDC" w:rsidRPr="00BE1EBA" w:rsidRDefault="00637FDC" w:rsidP="00C3005A">
            <w:r w:rsidRPr="00BE1EBA">
              <w:t>Région : (ajouter la région)</w:t>
            </w:r>
          </w:p>
        </w:tc>
      </w:tr>
      <w:tr w:rsidR="00637FDC" w:rsidRPr="00BE1EBA" w:rsidTr="002C7167">
        <w:trPr>
          <w:trHeight w:val="427"/>
        </w:trPr>
        <w:tc>
          <w:tcPr>
            <w:tcW w:w="4732" w:type="dxa"/>
            <w:gridSpan w:val="2"/>
          </w:tcPr>
          <w:p w:rsidR="00637FDC" w:rsidRPr="00BE1EBA" w:rsidRDefault="00637FDC" w:rsidP="00C3005A">
            <w:r w:rsidRPr="00BE1EBA">
              <w:t>Entreprise effectuant les travaux :</w:t>
            </w:r>
            <w:r w:rsidRPr="00BE1EBA">
              <w:tab/>
            </w:r>
          </w:p>
        </w:tc>
        <w:tc>
          <w:tcPr>
            <w:tcW w:w="2366" w:type="dxa"/>
          </w:tcPr>
          <w:p w:rsidR="00637FDC" w:rsidRPr="00BE1EBA" w:rsidRDefault="00637FDC" w:rsidP="00C3005A">
            <w:r w:rsidRPr="00BE1EBA">
              <w:t>Adresse :</w:t>
            </w:r>
          </w:p>
        </w:tc>
        <w:tc>
          <w:tcPr>
            <w:tcW w:w="2370" w:type="dxa"/>
          </w:tcPr>
          <w:p w:rsidR="00637FDC" w:rsidRPr="00BE1EBA" w:rsidRDefault="00637FDC" w:rsidP="00C3005A">
            <w:r w:rsidRPr="00BE1EBA">
              <w:t>Personne</w:t>
            </w:r>
            <w:r w:rsidR="003262E1" w:rsidRPr="00BE1EBA">
              <w:t>­</w:t>
            </w:r>
            <w:r w:rsidRPr="00BE1EBA">
              <w:t>ressource pour les demandes de renseignements</w:t>
            </w:r>
          </w:p>
        </w:tc>
      </w:tr>
      <w:tr w:rsidR="00637FDC" w:rsidRPr="00BE1EBA" w:rsidTr="002C7167">
        <w:tc>
          <w:tcPr>
            <w:tcW w:w="2370" w:type="dxa"/>
          </w:tcPr>
          <w:p w:rsidR="00637FDC" w:rsidRPr="00BE1EBA" w:rsidRDefault="00637FDC" w:rsidP="00C3005A">
            <w:r w:rsidRPr="00BE1EBA">
              <w:t>A</w:t>
            </w:r>
          </w:p>
        </w:tc>
        <w:tc>
          <w:tcPr>
            <w:tcW w:w="2362" w:type="dxa"/>
          </w:tcPr>
          <w:p w:rsidR="00637FDC" w:rsidRPr="00BE1EBA" w:rsidRDefault="00637FDC" w:rsidP="00C3005A">
            <w:r w:rsidRPr="00BE1EBA">
              <w:t>B</w:t>
            </w:r>
          </w:p>
        </w:tc>
        <w:tc>
          <w:tcPr>
            <w:tcW w:w="2366" w:type="dxa"/>
          </w:tcPr>
          <w:p w:rsidR="00637FDC" w:rsidRPr="00BE1EBA" w:rsidRDefault="00637FDC" w:rsidP="00C3005A">
            <w:r w:rsidRPr="00BE1EBA">
              <w:t>C</w:t>
            </w:r>
          </w:p>
        </w:tc>
        <w:tc>
          <w:tcPr>
            <w:tcW w:w="2370" w:type="dxa"/>
          </w:tcPr>
          <w:p w:rsidR="00637FDC" w:rsidRPr="00BE1EBA" w:rsidRDefault="00637FDC" w:rsidP="00C3005A">
            <w:r w:rsidRPr="00BE1EBA">
              <w:t>D</w:t>
            </w:r>
          </w:p>
        </w:tc>
      </w:tr>
      <w:tr w:rsidR="00637FDC" w:rsidRPr="00BE1EBA" w:rsidTr="002C7167">
        <w:tc>
          <w:tcPr>
            <w:tcW w:w="2370" w:type="dxa"/>
          </w:tcPr>
          <w:p w:rsidR="00637FDC" w:rsidRPr="00BE1EBA" w:rsidRDefault="00637FDC" w:rsidP="00C3005A">
            <w:pPr>
              <w:pStyle w:val="DefaultText1"/>
            </w:pPr>
            <w:r w:rsidRPr="00BE1EBA">
              <w:t>Fournisseur ou distributeur agréé (s</w:t>
            </w:r>
            <w:r w:rsidR="00812400" w:rsidRPr="00BE1EBA">
              <w:t>’</w:t>
            </w:r>
            <w:r w:rsidR="00625160" w:rsidRPr="00BE1EBA">
              <w:t>il y </w:t>
            </w:r>
            <w:r w:rsidRPr="00BE1EBA">
              <w:t>a lieu)</w:t>
            </w:r>
          </w:p>
        </w:tc>
        <w:tc>
          <w:tcPr>
            <w:tcW w:w="2362" w:type="dxa"/>
          </w:tcPr>
          <w:p w:rsidR="00637FDC" w:rsidRPr="00BE1EBA" w:rsidRDefault="00637FDC" w:rsidP="00C3005A">
            <w:r w:rsidRPr="00BE1EBA">
              <w:t>Nom :</w:t>
            </w:r>
          </w:p>
        </w:tc>
        <w:tc>
          <w:tcPr>
            <w:tcW w:w="2366" w:type="dxa"/>
          </w:tcPr>
          <w:p w:rsidR="00637FDC" w:rsidRPr="00BE1EBA" w:rsidRDefault="00637FDC" w:rsidP="00C3005A">
            <w:r w:rsidRPr="00BE1EBA">
              <w:t>Adresse :</w:t>
            </w:r>
          </w:p>
        </w:tc>
        <w:tc>
          <w:tcPr>
            <w:tcW w:w="2370" w:type="dxa"/>
          </w:tcPr>
          <w:p w:rsidR="00637FDC" w:rsidRPr="00BE1EBA" w:rsidRDefault="00637FDC" w:rsidP="00C3005A">
            <w:r w:rsidRPr="00BE1EBA">
              <w:t>Nom :</w:t>
            </w:r>
          </w:p>
          <w:p w:rsidR="00637FDC" w:rsidRPr="00BE1EBA" w:rsidRDefault="00637FDC" w:rsidP="00C3005A">
            <w:r w:rsidRPr="00BE1EBA">
              <w:t>Numéro de téléphone :</w:t>
            </w:r>
          </w:p>
          <w:p w:rsidR="00637FDC" w:rsidRPr="00BE1EBA" w:rsidRDefault="00637FDC" w:rsidP="00C3005A">
            <w:r w:rsidRPr="00BE1EBA">
              <w:t>Courriel :</w:t>
            </w:r>
          </w:p>
          <w:p w:rsidR="00637FDC" w:rsidRPr="00BE1EBA" w:rsidRDefault="00637FDC" w:rsidP="00C3005A"/>
        </w:tc>
      </w:tr>
      <w:tr w:rsidR="00637FDC" w:rsidRPr="00BE1EBA" w:rsidTr="002C7167">
        <w:tc>
          <w:tcPr>
            <w:tcW w:w="9468" w:type="dxa"/>
            <w:gridSpan w:val="4"/>
          </w:tcPr>
          <w:p w:rsidR="00637FDC" w:rsidRPr="00BE1EBA" w:rsidRDefault="00637FDC" w:rsidP="00C3005A">
            <w:r w:rsidRPr="00BE1EBA">
              <w:t>Ajouter tous les renseignements pour chacun des distributeurs proposés dans la soumission.</w:t>
            </w:r>
          </w:p>
        </w:tc>
      </w:tr>
    </w:tbl>
    <w:p w:rsidR="00637FDC" w:rsidRPr="00BE1EBA" w:rsidRDefault="00637FDC" w:rsidP="00637FDC"/>
    <w:p w:rsidR="00B13466" w:rsidRPr="00BE1EBA" w:rsidRDefault="00B13466" w:rsidP="00B13466">
      <w:pPr>
        <w:pStyle w:val="ModlesEn-tte3"/>
      </w:pPr>
      <w:r w:rsidRPr="00BE1EBA">
        <w:t>6A.15</w:t>
      </w:r>
      <w:r w:rsidRPr="00BE1EBA">
        <w:tab/>
        <w:t>Approvisionnement par l</w:t>
      </w:r>
      <w:r w:rsidR="00812400" w:rsidRPr="00BE1EBA">
        <w:t>’</w:t>
      </w:r>
      <w:r w:rsidRPr="00BE1EBA">
        <w:t>entremise de distributeurs agréés</w:t>
      </w:r>
    </w:p>
    <w:p w:rsidR="00637FDC" w:rsidRPr="00BE1EBA" w:rsidRDefault="00637FDC" w:rsidP="00637FDC">
      <w:r w:rsidRPr="00BE1EBA">
        <w:t>Si le fournisseur a un ou plusieurs distributeurs agréés, les dispositions suivantes s</w:t>
      </w:r>
      <w:r w:rsidR="00812400" w:rsidRPr="00BE1EBA">
        <w:t>’</w:t>
      </w:r>
      <w:r w:rsidRPr="00BE1EBA">
        <w:t>appliquent.</w:t>
      </w:r>
    </w:p>
    <w:p w:rsidR="00637FDC" w:rsidRPr="00BE1EBA" w:rsidRDefault="00637FDC" w:rsidP="005F083B">
      <w:pPr>
        <w:pStyle w:val="ModlesEn-tte3"/>
      </w:pPr>
      <w:bookmarkStart w:id="63" w:name="_Toc412634802"/>
      <w:r w:rsidRPr="00BE1EBA">
        <w:t>15.1</w:t>
      </w:r>
      <w:r w:rsidRPr="00BE1EBA">
        <w:tab/>
        <w:t>Approvisionnement par l</w:t>
      </w:r>
      <w:r w:rsidR="00812400" w:rsidRPr="00BE1EBA">
        <w:t>’</w:t>
      </w:r>
      <w:r w:rsidRPr="00BE1EBA">
        <w:t>ent</w:t>
      </w:r>
      <w:r w:rsidR="00625160" w:rsidRPr="00BE1EBA">
        <w:t>remise de distributeurs agréés.</w:t>
      </w:r>
      <w:bookmarkEnd w:id="63"/>
    </w:p>
    <w:p w:rsidR="00637FDC" w:rsidRPr="00BE1EBA" w:rsidRDefault="00637FDC" w:rsidP="00637FDC">
      <w:pPr>
        <w:ind w:left="567" w:hanging="567"/>
      </w:pPr>
      <w:r w:rsidRPr="00BE1EBA">
        <w:t>1.</w:t>
      </w:r>
      <w:r w:rsidRPr="00BE1EBA">
        <w:tab/>
        <w:t>Le fournisseur fournira au Canada les produits et les services énumérés dans l</w:t>
      </w:r>
      <w:r w:rsidR="00812400" w:rsidRPr="00BE1EBA">
        <w:t>’</w:t>
      </w:r>
      <w:r w:rsidRPr="00BE1EBA">
        <w:t>AMA par l</w:t>
      </w:r>
      <w:r w:rsidR="00812400" w:rsidRPr="00BE1EBA">
        <w:t>’</w:t>
      </w:r>
      <w:r w:rsidRPr="00BE1EBA">
        <w:t>entremise d</w:t>
      </w:r>
      <w:r w:rsidR="00812400" w:rsidRPr="00BE1EBA">
        <w:t>’</w:t>
      </w:r>
      <w:r w:rsidRPr="00BE1EBA">
        <w:t>un ou plusieurs distributeurs agréés</w:t>
      </w:r>
      <w:r w:rsidR="00EF7715" w:rsidRPr="00BE1EBA">
        <w:t xml:space="preserve">. </w:t>
      </w:r>
      <w:r w:rsidRPr="00BE1EBA">
        <w:t>Les contrats ne seront octroyés qu</w:t>
      </w:r>
      <w:r w:rsidR="00812400" w:rsidRPr="00BE1EBA">
        <w:t>’</w:t>
      </w:r>
      <w:r w:rsidRPr="00BE1EBA">
        <w:t>aux fournisseurs.</w:t>
      </w:r>
    </w:p>
    <w:p w:rsidR="00637FDC" w:rsidRPr="00BE1EBA" w:rsidRDefault="00637FDC" w:rsidP="00637FDC">
      <w:pPr>
        <w:ind w:left="567" w:hanging="567"/>
      </w:pPr>
      <w:r w:rsidRPr="00BE1EBA">
        <w:t>2.</w:t>
      </w:r>
      <w:r w:rsidRPr="00BE1EBA">
        <w:tab/>
        <w:t>Le fournisseur doit veiller à ce que les distributeurs agréés fournissent uniquement les produits et services conformes aux modalités de l</w:t>
      </w:r>
      <w:r w:rsidR="00812400" w:rsidRPr="00BE1EBA">
        <w:t>’</w:t>
      </w:r>
      <w:r w:rsidRPr="00BE1EBA">
        <w:t>AMA</w:t>
      </w:r>
      <w:r w:rsidR="00EF7715" w:rsidRPr="00BE1EBA">
        <w:t xml:space="preserve">. </w:t>
      </w:r>
      <w:r w:rsidRPr="00BE1EBA">
        <w:t>Les distributeurs agréés du fournisseur désignés dans l</w:t>
      </w:r>
      <w:r w:rsidR="00812400" w:rsidRPr="00BE1EBA">
        <w:t>’</w:t>
      </w:r>
      <w:r w:rsidRPr="00BE1EBA">
        <w:t>AMA ne peuvent d</w:t>
      </w:r>
      <w:r w:rsidR="00812400" w:rsidRPr="00BE1EBA">
        <w:t>’</w:t>
      </w:r>
      <w:r w:rsidRPr="00BE1EBA">
        <w:t>aucune façon modifier les modalités de l</w:t>
      </w:r>
      <w:r w:rsidR="00812400" w:rsidRPr="00BE1EBA">
        <w:t>’</w:t>
      </w:r>
      <w:r w:rsidRPr="00BE1EBA">
        <w:t>AMA ni s</w:t>
      </w:r>
      <w:r w:rsidR="00812400" w:rsidRPr="00BE1EBA">
        <w:t>’</w:t>
      </w:r>
      <w:r w:rsidRPr="00BE1EBA">
        <w:t>en écarter.</w:t>
      </w:r>
    </w:p>
    <w:p w:rsidR="00637FDC" w:rsidRPr="00BE1EBA" w:rsidRDefault="00637FDC" w:rsidP="00637FDC">
      <w:pPr>
        <w:ind w:left="567" w:hanging="567"/>
      </w:pPr>
      <w:r w:rsidRPr="00BE1EBA">
        <w:t>3.</w:t>
      </w:r>
      <w:r w:rsidRPr="00BE1EBA">
        <w:tab/>
        <w:t>Le fournisseur est responsable envers le Canada des obligations qui lui incombent dans le cadre de l</w:t>
      </w:r>
      <w:r w:rsidR="00812400" w:rsidRPr="00BE1EBA">
        <w:t>’</w:t>
      </w:r>
      <w:r w:rsidRPr="00BE1EBA">
        <w:t>AMA, sans égard aux actes ou omissions de ses distributeurs agréés, ou des employés ou mandataires de ces derniers, durant l</w:t>
      </w:r>
      <w:r w:rsidR="00812400" w:rsidRPr="00BE1EBA">
        <w:t>’</w:t>
      </w:r>
      <w:r w:rsidRPr="00BE1EBA">
        <w:t>exécution réelle ou prévue des obligations du fournisseur aux termes des contrats subséquents</w:t>
      </w:r>
      <w:r w:rsidR="00EF7715" w:rsidRPr="00BE1EBA">
        <w:t xml:space="preserve">. </w:t>
      </w:r>
      <w:r w:rsidRPr="00BE1EBA">
        <w:t>Le fournisseur accepte et comprend qu</w:t>
      </w:r>
      <w:r w:rsidR="00812400" w:rsidRPr="00BE1EBA">
        <w:t>’</w:t>
      </w:r>
      <w:r w:rsidRPr="00BE1EBA">
        <w:t>il est chargé de veiller à ce que tous ses revendeurs désignés respectent les modalités de l</w:t>
      </w:r>
      <w:r w:rsidR="00812400" w:rsidRPr="00BE1EBA">
        <w:t>’</w:t>
      </w:r>
      <w:r w:rsidRPr="00BE1EBA">
        <w:t>AMA.</w:t>
      </w:r>
    </w:p>
    <w:p w:rsidR="00637FDC" w:rsidRPr="00BE1EBA" w:rsidRDefault="00637FDC" w:rsidP="00637FDC">
      <w:pPr>
        <w:ind w:left="567" w:hanging="567"/>
      </w:pPr>
      <w:r w:rsidRPr="00BE1EBA">
        <w:lastRenderedPageBreak/>
        <w:t>4.</w:t>
      </w:r>
      <w:r w:rsidRPr="00BE1EBA">
        <w:tab/>
        <w:t>Les parties désignées comme distributeurs agréés et les régions desservies par chacune d</w:t>
      </w:r>
      <w:r w:rsidR="00812400" w:rsidRPr="00BE1EBA">
        <w:t>’</w:t>
      </w:r>
      <w:r w:rsidRPr="00BE1EBA">
        <w:t>elles doivent être précisées sur le site Web du fournisseur avant qu</w:t>
      </w:r>
      <w:r w:rsidR="00812400" w:rsidRPr="00BE1EBA">
        <w:t>’</w:t>
      </w:r>
      <w:r w:rsidRPr="00BE1EBA">
        <w:t>un distributeur agréé puisse exécuter des travaux.</w:t>
      </w:r>
    </w:p>
    <w:p w:rsidR="00637FDC" w:rsidRPr="00BE1EBA" w:rsidRDefault="00637FDC" w:rsidP="00637FDC">
      <w:pPr>
        <w:ind w:left="567" w:hanging="567"/>
      </w:pPr>
      <w:r w:rsidRPr="00BE1EBA">
        <w:t>5.</w:t>
      </w:r>
      <w:r w:rsidRPr="00BE1EBA">
        <w:tab/>
        <w:t>Si, pendant la durée de l</w:t>
      </w:r>
      <w:r w:rsidR="00812400" w:rsidRPr="00BE1EBA">
        <w:t>’</w:t>
      </w:r>
      <w:r w:rsidRPr="00BE1EBA">
        <w:t>AMA, la situation d</w:t>
      </w:r>
      <w:r w:rsidR="00812400" w:rsidRPr="00BE1EBA">
        <w:t>’</w:t>
      </w:r>
      <w:r w:rsidRPr="00BE1EBA">
        <w:t>un de ses distributeurs agréés change, le fournisseur doit respecter les modalités du paragraphe 13.1.4.</w:t>
      </w:r>
    </w:p>
    <w:p w:rsidR="00637FDC" w:rsidRPr="00BE1EBA" w:rsidRDefault="00637FDC" w:rsidP="00637FDC">
      <w:pPr>
        <w:ind w:left="567" w:hanging="567"/>
      </w:pPr>
      <w:r w:rsidRPr="00BE1EBA">
        <w:t>6.</w:t>
      </w:r>
      <w:r w:rsidRPr="00BE1EBA">
        <w:tab/>
        <w:t>Il incombe au fournisseur de déterminer les renseignements de l</w:t>
      </w:r>
      <w:r w:rsidR="00812400" w:rsidRPr="00BE1EBA">
        <w:t>’</w:t>
      </w:r>
      <w:r w:rsidRPr="00BE1EBA">
        <w:t xml:space="preserve">AMA devant être communiqués à ses distributeurs agréés, et de les leur communiquer. </w:t>
      </w:r>
    </w:p>
    <w:p w:rsidR="00637FDC" w:rsidRPr="00BE1EBA" w:rsidRDefault="00637FDC" w:rsidP="00625160">
      <w:pPr>
        <w:pStyle w:val="ModlesEn-tte3"/>
      </w:pPr>
      <w:bookmarkStart w:id="64" w:name="_Toc412634803"/>
      <w:r w:rsidRPr="00BE1EBA">
        <w:t>15.2</w:t>
      </w:r>
      <w:r w:rsidRPr="00BE1EBA">
        <w:tab/>
        <w:t>Suspension du droit de recourir à un distributeur agréé nonobstant</w:t>
      </w:r>
      <w:r w:rsidR="002A6210" w:rsidRPr="00BE1EBA">
        <w:t xml:space="preserve"> </w:t>
      </w:r>
      <w:r w:rsidRPr="00BE1EBA">
        <w:t>les conditions générales du document 2020.</w:t>
      </w:r>
      <w:bookmarkEnd w:id="64"/>
      <w:r w:rsidRPr="00BE1EBA">
        <w:t xml:space="preserve"> </w:t>
      </w:r>
    </w:p>
    <w:p w:rsidR="00637FDC" w:rsidRPr="00BE1EBA" w:rsidRDefault="00637FDC" w:rsidP="00637FDC">
      <w:pPr>
        <w:ind w:left="567" w:hanging="567"/>
      </w:pPr>
      <w:r w:rsidRPr="00BE1EBA">
        <w:t>1.</w:t>
      </w:r>
      <w:r w:rsidRPr="00BE1EBA">
        <w:tab/>
        <w:t>Le Canada peut, à sa seule discrétion, exiger qu</w:t>
      </w:r>
      <w:r w:rsidR="00812400" w:rsidRPr="00BE1EBA">
        <w:t>’</w:t>
      </w:r>
      <w:r w:rsidRPr="00BE1EBA">
        <w:t>un distributeur agréé, qui ne respecte pas les modalités de l</w:t>
      </w:r>
      <w:r w:rsidR="00812400" w:rsidRPr="00BE1EBA">
        <w:t>’</w:t>
      </w:r>
      <w:r w:rsidRPr="00BE1EBA">
        <w:t>AMA, interrompe l</w:t>
      </w:r>
      <w:r w:rsidR="00812400" w:rsidRPr="00BE1EBA">
        <w:t>’</w:t>
      </w:r>
      <w:r w:rsidRPr="00BE1EBA">
        <w:t>exécution des travaux décrits dans l</w:t>
      </w:r>
      <w:r w:rsidR="00812400" w:rsidRPr="00BE1EBA">
        <w:t>’</w:t>
      </w:r>
      <w:r w:rsidRPr="00BE1EBA">
        <w:t>AMA en faisant parvenir un avis écrit au fournisseur</w:t>
      </w:r>
      <w:r w:rsidR="00EF7715" w:rsidRPr="00BE1EBA">
        <w:t xml:space="preserve">. </w:t>
      </w:r>
      <w:r w:rsidRPr="00BE1EBA">
        <w:t>Le Canada n</w:t>
      </w:r>
      <w:r w:rsidR="00812400" w:rsidRPr="00BE1EBA">
        <w:t>’</w:t>
      </w:r>
      <w:r w:rsidRPr="00BE1EBA">
        <w:t>est pas tenu de transmettre une copie de l</w:t>
      </w:r>
      <w:r w:rsidR="00812400" w:rsidRPr="00BE1EBA">
        <w:t>’</w:t>
      </w:r>
      <w:r w:rsidRPr="00BE1EBA">
        <w:t>avis écrit au distributeur agréé.</w:t>
      </w:r>
    </w:p>
    <w:p w:rsidR="00637FDC" w:rsidRPr="00BE1EBA" w:rsidRDefault="00637FDC" w:rsidP="00637FDC">
      <w:pPr>
        <w:ind w:left="567" w:hanging="567"/>
      </w:pPr>
      <w:r w:rsidRPr="00BE1EBA">
        <w:t>2.</w:t>
      </w:r>
      <w:r w:rsidRPr="00BE1EBA">
        <w:tab/>
        <w:t>La suspension du distributeur agréé aux termes de l</w:t>
      </w:r>
      <w:r w:rsidR="00812400" w:rsidRPr="00BE1EBA">
        <w:t>’</w:t>
      </w:r>
      <w:r w:rsidRPr="00BE1EBA">
        <w:t>AMA entre en vigueur à la date d</w:t>
      </w:r>
      <w:r w:rsidR="00812400" w:rsidRPr="00BE1EBA">
        <w:t>’</w:t>
      </w:r>
      <w:r w:rsidRPr="00BE1EBA">
        <w:t>émission de l</w:t>
      </w:r>
      <w:r w:rsidR="00812400" w:rsidRPr="00BE1EBA">
        <w:t>’</w:t>
      </w:r>
      <w:r w:rsidRPr="00BE1EBA">
        <w:t>avis écrit ou à l</w:t>
      </w:r>
      <w:r w:rsidR="00812400" w:rsidRPr="00BE1EBA">
        <w:t>’</w:t>
      </w:r>
      <w:r w:rsidRPr="00BE1EBA">
        <w:t>échéance d</w:t>
      </w:r>
      <w:r w:rsidR="00812400" w:rsidRPr="00BE1EBA">
        <w:t>’</w:t>
      </w:r>
      <w:r w:rsidRPr="00BE1EBA">
        <w:t>une période de correction indiquée dans l</w:t>
      </w:r>
      <w:r w:rsidR="00812400" w:rsidRPr="00BE1EBA">
        <w:t>’</w:t>
      </w:r>
      <w:r w:rsidRPr="00BE1EBA">
        <w:t>avis, si le fournisseur n</w:t>
      </w:r>
      <w:r w:rsidR="00812400" w:rsidRPr="00BE1EBA">
        <w:t>’</w:t>
      </w:r>
      <w:r w:rsidRPr="00BE1EBA">
        <w:t>a pas corrigé le manquement à la satisfaction du Canada dans ce délai</w:t>
      </w:r>
      <w:r w:rsidR="00EF7715" w:rsidRPr="00BE1EBA">
        <w:t xml:space="preserve">. </w:t>
      </w:r>
      <w:r w:rsidRPr="00BE1EBA">
        <w:t>Si le fournisseur ne dispose pas d</w:t>
      </w:r>
      <w:r w:rsidR="00812400" w:rsidRPr="00BE1EBA">
        <w:t>’</w:t>
      </w:r>
      <w:r w:rsidRPr="00BE1EBA">
        <w:t>un autre distributeur agréé dans la région desservie par le distributeur agréé ayant fait l</w:t>
      </w:r>
      <w:r w:rsidR="00812400" w:rsidRPr="00BE1EBA">
        <w:t>’</w:t>
      </w:r>
      <w:r w:rsidRPr="00BE1EBA">
        <w:t>objet de la suspension, l</w:t>
      </w:r>
      <w:r w:rsidR="00812400" w:rsidRPr="00BE1EBA">
        <w:t>’</w:t>
      </w:r>
      <w:r w:rsidRPr="00BE1EBA">
        <w:t>utilisation de l</w:t>
      </w:r>
      <w:r w:rsidR="00812400" w:rsidRPr="00BE1EBA">
        <w:t>’</w:t>
      </w:r>
      <w:r w:rsidRPr="00BE1EBA">
        <w:t>AMA peut être suspendue jusqu</w:t>
      </w:r>
      <w:r w:rsidR="00812400" w:rsidRPr="00BE1EBA">
        <w:t>’</w:t>
      </w:r>
      <w:r w:rsidRPr="00BE1EBA">
        <w:t>à ce qu</w:t>
      </w:r>
      <w:r w:rsidR="00812400" w:rsidRPr="00BE1EBA">
        <w:t>’</w:t>
      </w:r>
      <w:r w:rsidRPr="00BE1EBA">
        <w:t>un autre distributeur agréé soit désigné et que le fournisseur ait transmis un avis écrit au responsable de l</w:t>
      </w:r>
      <w:r w:rsidR="00812400" w:rsidRPr="00BE1EBA">
        <w:t>’</w:t>
      </w:r>
      <w:r w:rsidRPr="00BE1EBA">
        <w:t>AMA.</w:t>
      </w:r>
    </w:p>
    <w:p w:rsidR="00637FDC" w:rsidRPr="00BE1EBA" w:rsidRDefault="00637FDC" w:rsidP="00637FDC">
      <w:pPr>
        <w:ind w:left="567" w:hanging="567"/>
      </w:pPr>
      <w:r w:rsidRPr="00BE1EBA">
        <w:t>3.</w:t>
      </w:r>
      <w:r w:rsidRPr="00BE1EBA">
        <w:tab/>
        <w:t>Le responsable de l</w:t>
      </w:r>
      <w:r w:rsidR="00812400" w:rsidRPr="00BE1EBA">
        <w:t>’</w:t>
      </w:r>
      <w:r w:rsidRPr="00BE1EBA">
        <w:t>AMA peut, à sa seule discrétion, prolonger ou imposer une période de suspension ou retirer de l</w:t>
      </w:r>
      <w:r w:rsidR="00812400" w:rsidRPr="00BE1EBA">
        <w:t>’</w:t>
      </w:r>
      <w:r w:rsidRPr="00BE1EBA">
        <w:t>AMA le distributeur agréé en permanence si le non</w:t>
      </w:r>
      <w:r w:rsidR="003262E1" w:rsidRPr="00BE1EBA">
        <w:t>­</w:t>
      </w:r>
      <w:r w:rsidRPr="00BE1EBA">
        <w:t>respect des modalités de l</w:t>
      </w:r>
      <w:r w:rsidR="00812400" w:rsidRPr="00BE1EBA">
        <w:t>’</w:t>
      </w:r>
      <w:r w:rsidRPr="00BE1EBA">
        <w:t>AMA ayant fait l</w:t>
      </w:r>
      <w:r w:rsidR="00812400" w:rsidRPr="00BE1EBA">
        <w:t>’</w:t>
      </w:r>
      <w:r w:rsidRPr="00BE1EBA">
        <w:t>objet de l</w:t>
      </w:r>
      <w:r w:rsidR="00812400" w:rsidRPr="00BE1EBA">
        <w:t>’</w:t>
      </w:r>
      <w:r w:rsidRPr="00BE1EBA">
        <w:t>avis se reproduit; dans une telle situation, le fournisseur doit retirer de ses sites Web le nom du distributeur agréé concerné</w:t>
      </w:r>
      <w:r w:rsidR="00EF7715" w:rsidRPr="00BE1EBA">
        <w:t xml:space="preserve">. </w:t>
      </w:r>
    </w:p>
    <w:p w:rsidR="00637FDC" w:rsidRPr="00BE1EBA" w:rsidRDefault="00637FDC" w:rsidP="00637FDC">
      <w:pPr>
        <w:ind w:left="567" w:hanging="567"/>
      </w:pPr>
    </w:p>
    <w:p w:rsidR="00637FDC" w:rsidRPr="00BE1EBA" w:rsidRDefault="00637FDC" w:rsidP="00637FDC">
      <w:pPr>
        <w:ind w:left="567" w:hanging="567"/>
      </w:pPr>
      <w:r w:rsidRPr="00BE1EBA">
        <w:t>4.</w:t>
      </w:r>
      <w:r w:rsidRPr="00BE1EBA">
        <w:tab/>
        <w:t>Le responsable de l</w:t>
      </w:r>
      <w:r w:rsidR="00812400" w:rsidRPr="00BE1EBA">
        <w:t>’</w:t>
      </w:r>
      <w:r w:rsidRPr="00BE1EBA">
        <w:t>AMA peut, à sa seule discrétion, suspendre ou annuler l</w:t>
      </w:r>
      <w:r w:rsidR="00812400" w:rsidRPr="00BE1EBA">
        <w:t>’</w:t>
      </w:r>
      <w:r w:rsidRPr="00BE1EBA">
        <w:t>AMA du fournisseur si les distributeurs agréés ne respectent pas les modalités de l</w:t>
      </w:r>
      <w:r w:rsidR="00812400" w:rsidRPr="00BE1EBA">
        <w:t>’</w:t>
      </w:r>
      <w:r w:rsidRPr="00BE1EBA">
        <w:t>AMA ou si le fournisseur ne respecte pas les modalités de l</w:t>
      </w:r>
      <w:r w:rsidR="00812400" w:rsidRPr="00BE1EBA">
        <w:t>’</w:t>
      </w:r>
      <w:r w:rsidRPr="00BE1EBA">
        <w:t>AMA relatives aux distributeurs agréés.</w:t>
      </w:r>
    </w:p>
    <w:p w:rsidR="00637FDC" w:rsidRPr="00BE1EBA" w:rsidRDefault="00637FDC" w:rsidP="00232778">
      <w:pPr>
        <w:pStyle w:val="ModlesEn-tte2"/>
      </w:pPr>
      <w:bookmarkStart w:id="65" w:name="_Toc413070289"/>
      <w:r w:rsidRPr="00BE1EBA">
        <w:t>6A.16</w:t>
      </w:r>
      <w:r w:rsidRPr="00BE1EBA">
        <w:tab/>
        <w:t>Besoins</w:t>
      </w:r>
      <w:bookmarkEnd w:id="65"/>
      <w:r w:rsidRPr="00BE1EBA">
        <w:t xml:space="preserve"> </w:t>
      </w:r>
    </w:p>
    <w:p w:rsidR="00637FDC" w:rsidRPr="00BE1EBA" w:rsidRDefault="00637FDC" w:rsidP="005F083B">
      <w:pPr>
        <w:pStyle w:val="ModlesEn-tte3"/>
      </w:pPr>
      <w:bookmarkStart w:id="66" w:name="_Toc412634805"/>
      <w:r w:rsidRPr="00BE1EBA">
        <w:t>regroupés</w:t>
      </w:r>
      <w:bookmarkEnd w:id="66"/>
      <w:r w:rsidRPr="00BE1EBA">
        <w:t xml:space="preserve"> </w:t>
      </w:r>
    </w:p>
    <w:p w:rsidR="00637FDC" w:rsidRPr="00BE1EBA" w:rsidRDefault="00637FDC" w:rsidP="00637FDC">
      <w:r w:rsidRPr="00BE1EBA">
        <w:t>Les besoins regroupés concernent un besoin visant plus d</w:t>
      </w:r>
      <w:r w:rsidR="00812400" w:rsidRPr="00BE1EBA">
        <w:t>’</w:t>
      </w:r>
      <w:r w:rsidRPr="00BE1EBA">
        <w:t>une catégorie d</w:t>
      </w:r>
      <w:r w:rsidR="00F515CF" w:rsidRPr="00BE1EBA">
        <w:t xml:space="preserve">e </w:t>
      </w:r>
      <w:r w:rsidR="00A77994" w:rsidRPr="00BE1EBA">
        <w:t>postes de travail</w:t>
      </w:r>
      <w:r w:rsidRPr="00BE1EBA">
        <w:t>.</w:t>
      </w:r>
    </w:p>
    <w:p w:rsidR="00637FDC" w:rsidRPr="00BE1EBA" w:rsidRDefault="00637FDC" w:rsidP="00637FDC">
      <w:r w:rsidRPr="00BE1EBA">
        <w:t>1. Le Canada peut publier des demandes de soumissions pour des besoins regroupés.</w:t>
      </w:r>
    </w:p>
    <w:p w:rsidR="00637FDC" w:rsidRPr="00BE1EBA" w:rsidRDefault="00637FDC" w:rsidP="00637FDC">
      <w:r w:rsidRPr="00BE1EBA">
        <w:t>2. Le Canada lancera un appel d</w:t>
      </w:r>
      <w:r w:rsidR="00812400" w:rsidRPr="00BE1EBA">
        <w:t>’</w:t>
      </w:r>
      <w:r w:rsidRPr="00BE1EBA">
        <w:t>offres, conformément aux dispositions de la partie 6B.</w:t>
      </w:r>
    </w:p>
    <w:p w:rsidR="00637FDC" w:rsidRPr="00BE1EBA" w:rsidRDefault="00637FDC" w:rsidP="00637FDC">
      <w:r w:rsidRPr="00BE1EBA">
        <w:t>3. Le non</w:t>
      </w:r>
      <w:r w:rsidR="003262E1" w:rsidRPr="00BE1EBA">
        <w:t>­</w:t>
      </w:r>
      <w:r w:rsidRPr="00BE1EBA">
        <w:t>respect de ces instructions pourra amener la DGA à suspendre ou à annuler l</w:t>
      </w:r>
      <w:r w:rsidR="00812400" w:rsidRPr="00BE1EBA">
        <w:t>’</w:t>
      </w:r>
      <w:r w:rsidRPr="00BE1EBA">
        <w:t>AMA du fournisseur.</w:t>
      </w:r>
    </w:p>
    <w:p w:rsidR="00637FDC" w:rsidRPr="00BE1EBA" w:rsidRDefault="00637FDC" w:rsidP="00637FDC">
      <w:r w:rsidRPr="00BE1EBA">
        <w:t>4. Le Canada peut octroyer un contrat pour plus d</w:t>
      </w:r>
      <w:r w:rsidR="00812400" w:rsidRPr="00BE1EBA">
        <w:t>’</w:t>
      </w:r>
      <w:r w:rsidRPr="00BE1EBA">
        <w:t>une catégorie.</w:t>
      </w:r>
    </w:p>
    <w:p w:rsidR="00637FDC" w:rsidRPr="00BE1EBA" w:rsidRDefault="00637FDC" w:rsidP="00232778">
      <w:pPr>
        <w:pStyle w:val="ModlesEn-tte2"/>
      </w:pPr>
      <w:bookmarkStart w:id="67" w:name="_Toc413070290"/>
      <w:r w:rsidRPr="00BE1EBA">
        <w:t>6A.17</w:t>
      </w:r>
      <w:r w:rsidRPr="00BE1EBA">
        <w:tab/>
        <w:t>Marquage aux fins de garantie</w:t>
      </w:r>
      <w:bookmarkEnd w:id="67"/>
    </w:p>
    <w:p w:rsidR="00637FDC" w:rsidRPr="00BE1EBA" w:rsidRDefault="00637FDC" w:rsidP="00637FDC">
      <w:r w:rsidRPr="00BE1EBA">
        <w:t>Le fournisseur doit satisfaire aux exigences de l</w:t>
      </w:r>
      <w:r w:rsidR="00812400" w:rsidRPr="00BE1EBA">
        <w:t>’</w:t>
      </w:r>
      <w:r w:rsidRPr="00BE1EBA">
        <w:t>article 13 de l</w:t>
      </w:r>
      <w:r w:rsidR="00812400" w:rsidRPr="00BE1EBA">
        <w:t>’</w:t>
      </w:r>
      <w:r w:rsidRPr="00BE1EBA">
        <w:t>Annexe A</w:t>
      </w:r>
      <w:r w:rsidR="003262E1" w:rsidRPr="00BE1EBA">
        <w:t>­</w:t>
      </w:r>
      <w:r w:rsidRPr="00BE1EBA">
        <w:t>1 pour tous les produits fournis en vertu des contrats octroyés dans le cadre d</w:t>
      </w:r>
      <w:r w:rsidR="00812400" w:rsidRPr="00BE1EBA">
        <w:t>’</w:t>
      </w:r>
      <w:r w:rsidRPr="00BE1EBA">
        <w:t>un AMA. Le fournisseur doit informer les utilisateurs désignés de la présence et de l</w:t>
      </w:r>
      <w:r w:rsidR="00812400" w:rsidRPr="00BE1EBA">
        <w:t>’</w:t>
      </w:r>
      <w:r w:rsidRPr="00BE1EBA">
        <w:t>emplacement des renseignements relatifs au marquage et à l</w:t>
      </w:r>
      <w:r w:rsidR="00812400" w:rsidRPr="00BE1EBA">
        <w:t>’</w:t>
      </w:r>
      <w:r w:rsidRPr="00BE1EBA">
        <w:t>étiquetage.</w:t>
      </w:r>
    </w:p>
    <w:p w:rsidR="00637FDC" w:rsidRPr="00BE1EBA" w:rsidRDefault="006D3CB4" w:rsidP="00637FDC">
      <w:pPr>
        <w:spacing w:after="0"/>
        <w:rPr>
          <w:b/>
        </w:rPr>
      </w:pPr>
      <w:r w:rsidRPr="00BE1EBA">
        <w:br w:type="page"/>
      </w:r>
    </w:p>
    <w:p w:rsidR="00B24B16" w:rsidRPr="00BE1EBA" w:rsidRDefault="00F85506" w:rsidP="00F85506">
      <w:pPr>
        <w:pStyle w:val="ModlesEn-tte3"/>
        <w:jc w:val="center"/>
      </w:pPr>
      <w:bookmarkStart w:id="68" w:name="_Toc412634807"/>
      <w:r>
        <w:lastRenderedPageBreak/>
        <w:t>6</w:t>
      </w:r>
      <w:r w:rsidR="00B24B16" w:rsidRPr="00BE1EBA">
        <w:t>B.</w:t>
      </w:r>
      <w:r w:rsidR="00B24B16" w:rsidRPr="00BE1EBA">
        <w:tab/>
        <w:t>DEMANDE DE SOUMISSIONS</w:t>
      </w:r>
      <w:bookmarkEnd w:id="68"/>
    </w:p>
    <w:p w:rsidR="00C3005A" w:rsidRPr="00BE1EBA" w:rsidRDefault="00C3005A" w:rsidP="00D76919">
      <w:pPr>
        <w:pStyle w:val="ModlesEn-tte3"/>
      </w:pPr>
      <w:r w:rsidRPr="00BE1EBA">
        <w:t>6B.1</w:t>
      </w:r>
      <w:r w:rsidRPr="00BE1EBA">
        <w:tab/>
        <w:t>Définitions</w:t>
      </w:r>
    </w:p>
    <w:p w:rsidR="00C3005A" w:rsidRPr="00BE1EBA" w:rsidRDefault="00C3005A" w:rsidP="00C3005A">
      <w:r w:rsidRPr="00BE1EBA">
        <w:t>Les termes suivants sont utilisés dans les parties 6B et 6C. Les définitions qui leur sont assignées se trouvent ci</w:t>
      </w:r>
      <w:r w:rsidR="003262E1" w:rsidRPr="00BE1EBA">
        <w:t>­</w:t>
      </w:r>
      <w:r w:rsidRPr="00BE1EBA">
        <w:t xml:space="preserve">dessous. </w:t>
      </w:r>
    </w:p>
    <w:p w:rsidR="00102C5C" w:rsidRPr="00BE1EBA" w:rsidRDefault="00102C5C" w:rsidP="00102C5C">
      <w:r w:rsidRPr="00BE1EBA">
        <w:rPr>
          <w:b/>
        </w:rPr>
        <w:t xml:space="preserve">Besoin concurrentiel – </w:t>
      </w:r>
      <w:r w:rsidRPr="00BE1EBA">
        <w:t>Le Canada estime que l</w:t>
      </w:r>
      <w:r w:rsidR="00812400" w:rsidRPr="00BE1EBA">
        <w:t>’</w:t>
      </w:r>
      <w:r w:rsidRPr="00BE1EBA">
        <w:t>on peut parler de besoin concurrentiel lorsqu</w:t>
      </w:r>
      <w:r w:rsidR="00812400" w:rsidRPr="00BE1EBA">
        <w:t>’</w:t>
      </w:r>
      <w:r w:rsidRPr="00BE1EBA">
        <w:t>on demande à moins deux fournisseurs conformes de présenter une soumission et que le contrat est octroyé au soumissionnaire présentant la soumission recevable la moins</w:t>
      </w:r>
      <w:r w:rsidR="003262E1" w:rsidRPr="00BE1EBA">
        <w:t>­</w:t>
      </w:r>
      <w:r w:rsidRPr="00BE1EBA">
        <w:t xml:space="preserve">disante. </w:t>
      </w:r>
    </w:p>
    <w:p w:rsidR="00102C5C" w:rsidRPr="00BE1EBA" w:rsidRDefault="00102C5C" w:rsidP="00102C5C">
      <w:r w:rsidRPr="00BE1EBA">
        <w:t>Les scénarios suivants sont considérés comme des processus concurrentiels :</w:t>
      </w:r>
    </w:p>
    <w:p w:rsidR="00102C5C" w:rsidRPr="00BE1EBA" w:rsidRDefault="00102C5C" w:rsidP="00102C5C">
      <w:r w:rsidRPr="00BE1EBA">
        <w:t>Scénario 1 – Plusieurs fournisseurs conformes</w:t>
      </w:r>
    </w:p>
    <w:p w:rsidR="00102C5C" w:rsidRPr="00BE1EBA" w:rsidRDefault="00102C5C" w:rsidP="00102C5C">
      <w:r w:rsidRPr="00BE1EBA">
        <w:t>Plusieurs fournisseurs conformes – palier 1 (jusqu</w:t>
      </w:r>
      <w:r w:rsidR="00812400" w:rsidRPr="00BE1EBA">
        <w:t>’</w:t>
      </w:r>
      <w:r w:rsidRPr="00BE1EBA">
        <w:t>à 24 999,99 $)</w:t>
      </w:r>
    </w:p>
    <w:p w:rsidR="00102C5C" w:rsidRPr="00BE1EBA" w:rsidRDefault="00102C5C" w:rsidP="00102C5C">
      <w:r w:rsidRPr="00BE1EBA">
        <w:t>Lorsque l</w:t>
      </w:r>
      <w:r w:rsidR="00812400" w:rsidRPr="00BE1EBA">
        <w:t>’</w:t>
      </w:r>
      <w:r w:rsidRPr="00BE1EBA">
        <w:t>on demande à au moins deux fournisseurs de présenter une soumission.</w:t>
      </w:r>
    </w:p>
    <w:p w:rsidR="00102C5C" w:rsidRPr="00BE1EBA" w:rsidRDefault="00102C5C" w:rsidP="00102C5C">
      <w:r w:rsidRPr="00BE1EBA">
        <w:t>Plusieurs fournisseurs conformes – paliers 2 et 3 (à partir de 25 000 $)</w:t>
      </w:r>
    </w:p>
    <w:p w:rsidR="00102C5C" w:rsidRPr="00BE1EBA" w:rsidRDefault="00102C5C" w:rsidP="00102C5C">
      <w:r w:rsidRPr="00BE1EBA">
        <w:t>Lorsque l</w:t>
      </w:r>
      <w:r w:rsidR="00812400" w:rsidRPr="00BE1EBA">
        <w:t>’</w:t>
      </w:r>
      <w:r w:rsidRPr="00BE1EBA">
        <w:t>on demande à l</w:t>
      </w:r>
      <w:r w:rsidR="00812400" w:rsidRPr="00BE1EBA">
        <w:t>’</w:t>
      </w:r>
      <w:r w:rsidRPr="00BE1EBA">
        <w:t>ensemble des fournisseurs conformes de présenter une soumission.</w:t>
      </w:r>
    </w:p>
    <w:p w:rsidR="00102C5C" w:rsidRPr="00BE1EBA" w:rsidRDefault="00102C5C" w:rsidP="00102C5C">
      <w:r w:rsidRPr="00BE1EBA">
        <w:t>Scénario 2 – Produit manufacturé spécifique (au moins deux fournisseurs conformes)</w:t>
      </w:r>
    </w:p>
    <w:p w:rsidR="00102C5C" w:rsidRPr="00BE1EBA" w:rsidRDefault="00102C5C" w:rsidP="00102C5C">
      <w:r w:rsidRPr="00BE1EBA">
        <w:t>Lorsque le besoin des utilisateurs désignés est limité, pour des raisons d</w:t>
      </w:r>
      <w:r w:rsidR="00812400" w:rsidRPr="00BE1EBA">
        <w:t>’</w:t>
      </w:r>
      <w:r w:rsidRPr="00BE1EBA">
        <w:t>interconnectivité, à un produit figurant dans l</w:t>
      </w:r>
      <w:r w:rsidR="00812400" w:rsidRPr="00BE1EBA">
        <w:t>’</w:t>
      </w:r>
      <w:r w:rsidRPr="00BE1EBA">
        <w:t>AMA d</w:t>
      </w:r>
      <w:r w:rsidR="00812400" w:rsidRPr="00BE1EBA">
        <w:t>’</w:t>
      </w:r>
      <w:r w:rsidRPr="00BE1EBA">
        <w:t>un fabricant particulier et qu</w:t>
      </w:r>
      <w:r w:rsidR="00812400" w:rsidRPr="00BE1EBA">
        <w:t>’</w:t>
      </w:r>
      <w:r w:rsidRPr="00BE1EBA">
        <w:t>il existe au moins deux fournisseurs conformes. La DGA doit approuver le besoin avant que l</w:t>
      </w:r>
      <w:r w:rsidR="00812400" w:rsidRPr="00BE1EBA">
        <w:t>’</w:t>
      </w:r>
      <w:r w:rsidRPr="00BE1EBA">
        <w:t>utilisateur désigné procède à l</w:t>
      </w:r>
      <w:r w:rsidR="00812400" w:rsidRPr="00BE1EBA">
        <w:t>’</w:t>
      </w:r>
      <w:r w:rsidRPr="00BE1EBA">
        <w:t xml:space="preserve">achat. </w:t>
      </w:r>
    </w:p>
    <w:p w:rsidR="00102C5C" w:rsidRPr="00BE1EBA" w:rsidRDefault="00102C5C" w:rsidP="00102C5C">
      <w:r w:rsidRPr="00BE1EBA">
        <w:rPr>
          <w:b/>
        </w:rPr>
        <w:t xml:space="preserve">Besoin non concurrentiel – </w:t>
      </w:r>
      <w:r w:rsidRPr="00BE1EBA">
        <w:t>Le Canada estime que l</w:t>
      </w:r>
      <w:r w:rsidR="00812400" w:rsidRPr="00BE1EBA">
        <w:t>’</w:t>
      </w:r>
      <w:r w:rsidRPr="00BE1EBA">
        <w:t>on peut parler de besoin non concurrentiel lorsque l</w:t>
      </w:r>
      <w:r w:rsidR="00812400" w:rsidRPr="00BE1EBA">
        <w:t>’</w:t>
      </w:r>
      <w:r w:rsidRPr="00BE1EBA">
        <w:t>on demande à un fournisseur conforme de présenter une soumission et que le contrat est octroyé au dit fournisseur conforme.</w:t>
      </w:r>
    </w:p>
    <w:p w:rsidR="00102C5C" w:rsidRPr="00BE1EBA" w:rsidRDefault="00102C5C" w:rsidP="00102C5C">
      <w:r w:rsidRPr="00BE1EBA">
        <w:t>Les scénarios suivants sont considérés comme des processus non concurrentiels :</w:t>
      </w:r>
    </w:p>
    <w:p w:rsidR="00102C5C" w:rsidRPr="00BE1EBA" w:rsidRDefault="00102C5C" w:rsidP="00102C5C">
      <w:r w:rsidRPr="00BE1EBA">
        <w:t xml:space="preserve">Scénario 1 : Un fournisseur conforme unique </w:t>
      </w:r>
    </w:p>
    <w:p w:rsidR="00102C5C" w:rsidRPr="00BE1EBA" w:rsidRDefault="00102C5C" w:rsidP="00102C5C">
      <w:r w:rsidRPr="00BE1EBA">
        <w:t>Lorsque seuls les produits ou services d</w:t>
      </w:r>
      <w:r w:rsidR="00812400" w:rsidRPr="00BE1EBA">
        <w:t>’</w:t>
      </w:r>
      <w:r w:rsidRPr="00BE1EBA">
        <w:t xml:space="preserve">un fournisseur conforme unique répondent au besoin des utilisateurs désignés. </w:t>
      </w:r>
    </w:p>
    <w:p w:rsidR="00102C5C" w:rsidRPr="00BE1EBA" w:rsidRDefault="00102C5C" w:rsidP="00102C5C">
      <w:r w:rsidRPr="00BE1EBA">
        <w:t>Scénario 2 – palier 1 (jusqu</w:t>
      </w:r>
      <w:r w:rsidR="00812400" w:rsidRPr="00BE1EBA">
        <w:t>’</w:t>
      </w:r>
      <w:r w:rsidRPr="00BE1EBA">
        <w:t>à 24 999,99 $)</w:t>
      </w:r>
    </w:p>
    <w:p w:rsidR="00102C5C" w:rsidRPr="00BE1EBA" w:rsidRDefault="00102C5C" w:rsidP="00102C5C">
      <w:r w:rsidRPr="00BE1EBA">
        <w:t>Lorsqu</w:t>
      </w:r>
      <w:r w:rsidR="00812400" w:rsidRPr="00BE1EBA">
        <w:t>’</w:t>
      </w:r>
      <w:r w:rsidRPr="00BE1EBA">
        <w:t>il existe plus d</w:t>
      </w:r>
      <w:r w:rsidR="00812400" w:rsidRPr="00BE1EBA">
        <w:t>’</w:t>
      </w:r>
      <w:r w:rsidRPr="00BE1EBA">
        <w:t>un fournisseur conforme, mais que l</w:t>
      </w:r>
      <w:r w:rsidR="00812400" w:rsidRPr="00BE1EBA">
        <w:t>’</w:t>
      </w:r>
      <w:r w:rsidRPr="00BE1EBA">
        <w:t>utilisateur désigné choisit d</w:t>
      </w:r>
      <w:r w:rsidR="00812400" w:rsidRPr="00BE1EBA">
        <w:t>’</w:t>
      </w:r>
      <w:r w:rsidRPr="00BE1EBA">
        <w:t xml:space="preserve">approcher un fournisseur conforme unique. </w:t>
      </w:r>
    </w:p>
    <w:p w:rsidR="00102C5C" w:rsidRPr="00BE1EBA" w:rsidRDefault="00102C5C" w:rsidP="00102C5C">
      <w:r w:rsidRPr="00BE1EBA">
        <w:t>Scénario 3 – Produit manufacturé spécifique (un fournisseur conforme)</w:t>
      </w:r>
    </w:p>
    <w:p w:rsidR="00102C5C" w:rsidRPr="00BE1EBA" w:rsidRDefault="00102C5C" w:rsidP="00102C5C">
      <w:r w:rsidRPr="00BE1EBA">
        <w:t>Lorsque le besoin des utilisateurs désignés est limité, pour des raisons d</w:t>
      </w:r>
      <w:r w:rsidR="00812400" w:rsidRPr="00BE1EBA">
        <w:t>’</w:t>
      </w:r>
      <w:r w:rsidRPr="00BE1EBA">
        <w:t>interconnectivité, à un produit figurant dans l</w:t>
      </w:r>
      <w:r w:rsidR="00812400" w:rsidRPr="00BE1EBA">
        <w:t>’</w:t>
      </w:r>
      <w:r w:rsidRPr="00BE1EBA">
        <w:t>AMA d</w:t>
      </w:r>
      <w:r w:rsidR="00812400" w:rsidRPr="00BE1EBA">
        <w:t>’</w:t>
      </w:r>
      <w:r w:rsidRPr="00BE1EBA">
        <w:t>un fabricant particulier et qu</w:t>
      </w:r>
      <w:r w:rsidR="00812400" w:rsidRPr="00BE1EBA">
        <w:t>’</w:t>
      </w:r>
      <w:r w:rsidRPr="00BE1EBA">
        <w:t>il n</w:t>
      </w:r>
      <w:r w:rsidR="00812400" w:rsidRPr="00BE1EBA">
        <w:t>’</w:t>
      </w:r>
      <w:r w:rsidRPr="00BE1EBA">
        <w:t>existe qu</w:t>
      </w:r>
      <w:r w:rsidR="00812400" w:rsidRPr="00BE1EBA">
        <w:t>’</w:t>
      </w:r>
      <w:r w:rsidRPr="00BE1EBA">
        <w:t>un fournisseur conforme unique. La DGA doit approuver le besoin avant que l</w:t>
      </w:r>
      <w:r w:rsidR="00812400" w:rsidRPr="00BE1EBA">
        <w:t>’</w:t>
      </w:r>
      <w:r w:rsidRPr="00BE1EBA">
        <w:t>utilisateur désigné procède à l</w:t>
      </w:r>
      <w:r w:rsidR="00812400" w:rsidRPr="00BE1EBA">
        <w:t>’</w:t>
      </w:r>
      <w:r w:rsidRPr="00BE1EBA">
        <w:t xml:space="preserve">achat. </w:t>
      </w:r>
    </w:p>
    <w:p w:rsidR="00102C5C" w:rsidRPr="00BE1EBA" w:rsidRDefault="00102C5C" w:rsidP="00C3005A">
      <w:r w:rsidRPr="00BE1EBA">
        <w:rPr>
          <w:b/>
        </w:rPr>
        <w:t xml:space="preserve">Demande de soumissions – </w:t>
      </w:r>
      <w:r w:rsidRPr="00BE1EBA">
        <w:t>aussi appelé modèle d</w:t>
      </w:r>
      <w:r w:rsidR="00812400" w:rsidRPr="00BE1EBA">
        <w:t>’</w:t>
      </w:r>
      <w:r w:rsidRPr="00BE1EBA">
        <w:t>invitation à soumissionner et de contrat subséquent dans le cadre du présent AMA</w:t>
      </w:r>
    </w:p>
    <w:p w:rsidR="00102C5C" w:rsidRPr="00BE1EBA" w:rsidRDefault="00102C5C" w:rsidP="00C3005A">
      <w:pPr>
        <w:pStyle w:val="defaulttext0"/>
      </w:pPr>
      <w:r w:rsidRPr="00BE1EBA">
        <w:rPr>
          <w:b/>
        </w:rPr>
        <w:t>DGA/P –</w:t>
      </w:r>
      <w:r w:rsidRPr="00BE1EBA">
        <w:t xml:space="preserve"> Regroupe la DGA et le PA.</w:t>
      </w:r>
    </w:p>
    <w:p w:rsidR="00102C5C" w:rsidRPr="00BE1EBA" w:rsidRDefault="00102C5C" w:rsidP="00C3005A">
      <w:r w:rsidRPr="00BE1EBA">
        <w:rPr>
          <w:b/>
        </w:rPr>
        <w:t>Direction générale des approvisionnements (DGA) </w:t>
      </w:r>
      <w:r w:rsidRPr="00BE1EBA">
        <w:t>– Il s</w:t>
      </w:r>
      <w:r w:rsidR="00812400" w:rsidRPr="00BE1EBA">
        <w:t>’</w:t>
      </w:r>
      <w:r w:rsidRPr="00BE1EBA">
        <w:t>agit des bureaux d</w:t>
      </w:r>
      <w:r w:rsidR="00812400" w:rsidRPr="00BE1EBA">
        <w:t>’</w:t>
      </w:r>
      <w:r w:rsidRPr="00BE1EBA">
        <w:t>approvisionnement de la DGA de TPSGC à l</w:t>
      </w:r>
      <w:r w:rsidR="00812400" w:rsidRPr="00BE1EBA">
        <w:t>’</w:t>
      </w:r>
      <w:r w:rsidRPr="00BE1EBA">
        <w:t>administration centrale de TPSGC, à Gatineau (Québec). Le responsable de l</w:t>
      </w:r>
      <w:r w:rsidR="00812400" w:rsidRPr="00BE1EBA">
        <w:t>’</w:t>
      </w:r>
      <w:r w:rsidRPr="00BE1EBA">
        <w:t>AMA fait partie de la DGA.</w:t>
      </w:r>
    </w:p>
    <w:p w:rsidR="00102C5C" w:rsidRPr="00BE1EBA" w:rsidRDefault="00102C5C" w:rsidP="00C3005A">
      <w:r w:rsidRPr="00BE1EBA">
        <w:rPr>
          <w:b/>
        </w:rPr>
        <w:t>Fournisseur conforme :</w:t>
      </w:r>
      <w:r w:rsidRPr="00BE1EBA">
        <w:t xml:space="preserve"> Fournisseur titulaire d</w:t>
      </w:r>
      <w:r w:rsidR="00812400" w:rsidRPr="00BE1EBA">
        <w:t>’</w:t>
      </w:r>
      <w:r w:rsidRPr="00BE1EBA">
        <w:t>un AMA qui satisfait aux exigences des utilisateurs désignés en matière d</w:t>
      </w:r>
      <w:r w:rsidR="00812400" w:rsidRPr="00BE1EBA">
        <w:t>’</w:t>
      </w:r>
      <w:r w:rsidR="00A77994" w:rsidRPr="00BE1EBA">
        <w:t>postes de travail</w:t>
      </w:r>
      <w:r w:rsidRPr="00BE1EBA">
        <w:t>, notamment en ce qui a trait à la livraison, à l</w:t>
      </w:r>
      <w:r w:rsidR="00812400" w:rsidRPr="00BE1EBA">
        <w:t>’</w:t>
      </w:r>
      <w:r w:rsidRPr="00BE1EBA">
        <w:t>installation et aux services liés aux produits (au besoin). Le terme dénote le résultat d</w:t>
      </w:r>
      <w:r w:rsidR="00812400" w:rsidRPr="00BE1EBA">
        <w:t>’</w:t>
      </w:r>
      <w:r w:rsidRPr="00BE1EBA">
        <w:t>un examen réalisé par les utilisateurs désignés relativement aux sources éventuelles d</w:t>
      </w:r>
      <w:r w:rsidR="00812400" w:rsidRPr="00BE1EBA">
        <w:t>’</w:t>
      </w:r>
      <w:r w:rsidRPr="00BE1EBA">
        <w:t>approvisionnement à l</w:t>
      </w:r>
      <w:r w:rsidR="00812400" w:rsidRPr="00BE1EBA">
        <w:t>’</w:t>
      </w:r>
      <w:r w:rsidRPr="00BE1EBA">
        <w:t>aide d</w:t>
      </w:r>
      <w:r w:rsidR="00812400" w:rsidRPr="00BE1EBA">
        <w:t>’</w:t>
      </w:r>
      <w:r w:rsidRPr="00BE1EBA">
        <w:t>AMA. Le terme n</w:t>
      </w:r>
      <w:r w:rsidR="00812400" w:rsidRPr="00BE1EBA">
        <w:t>’</w:t>
      </w:r>
      <w:r w:rsidRPr="00BE1EBA">
        <w:t>a aucun autre sens que celui qui lui est donné dans le présent paragraphe.</w:t>
      </w:r>
    </w:p>
    <w:p w:rsidR="00102C5C" w:rsidRPr="00BE1EBA" w:rsidRDefault="00102C5C" w:rsidP="00C3005A">
      <w:r w:rsidRPr="00BE1EBA">
        <w:rPr>
          <w:b/>
        </w:rPr>
        <w:lastRenderedPageBreak/>
        <w:t>Prix plafond :</w:t>
      </w:r>
      <w:r w:rsidRPr="00BE1EBA">
        <w:t xml:space="preserve"> Se reporter à la partie B de l</w:t>
      </w:r>
      <w:r w:rsidR="00812400" w:rsidRPr="00BE1EBA">
        <w:t>’</w:t>
      </w:r>
      <w:r w:rsidRPr="00BE1EBA">
        <w:t>Annexe B.</w:t>
      </w:r>
    </w:p>
    <w:p w:rsidR="00102C5C" w:rsidRPr="00BE1EBA" w:rsidRDefault="00102C5C" w:rsidP="00C3005A">
      <w:r w:rsidRPr="00BE1EBA">
        <w:rPr>
          <w:b/>
        </w:rPr>
        <w:t>Programme d</w:t>
      </w:r>
      <w:r w:rsidR="00812400" w:rsidRPr="00BE1EBA">
        <w:rPr>
          <w:b/>
        </w:rPr>
        <w:t>’</w:t>
      </w:r>
      <w:r w:rsidRPr="00BE1EBA">
        <w:rPr>
          <w:b/>
        </w:rPr>
        <w:t>approvisionnement (PA) –</w:t>
      </w:r>
      <w:r w:rsidRPr="00BE1EBA">
        <w:t xml:space="preserve"> Il s</w:t>
      </w:r>
      <w:r w:rsidR="00812400" w:rsidRPr="00BE1EBA">
        <w:t>’</w:t>
      </w:r>
      <w:r w:rsidRPr="00BE1EBA">
        <w:t>agit des bureaux d</w:t>
      </w:r>
      <w:r w:rsidR="00812400" w:rsidRPr="00BE1EBA">
        <w:t>’</w:t>
      </w:r>
      <w:r w:rsidRPr="00BE1EBA">
        <w:t>approvisionnement régionaux et de l</w:t>
      </w:r>
      <w:r w:rsidR="00812400" w:rsidRPr="00BE1EBA">
        <w:t>’</w:t>
      </w:r>
      <w:r w:rsidRPr="00BE1EBA">
        <w:t>administration centrale de TPSGC répartis un peu partout au Canada.</w:t>
      </w:r>
    </w:p>
    <w:p w:rsidR="00C3005A" w:rsidRPr="00BE1EBA" w:rsidRDefault="00C3005A" w:rsidP="00D76919">
      <w:pPr>
        <w:pStyle w:val="ModlesEn-tte3"/>
      </w:pPr>
      <w:r w:rsidRPr="00BE1EBA">
        <w:t>6B.2</w:t>
      </w:r>
      <w:r w:rsidRPr="00BE1EBA">
        <w:tab/>
        <w:t>Catégories de produits</w:t>
      </w:r>
    </w:p>
    <w:p w:rsidR="00C3005A" w:rsidRPr="00BE1EBA" w:rsidRDefault="00C3005A" w:rsidP="00C3005A">
      <w:r w:rsidRPr="00BE1EBA">
        <w:t>Voici les définitions des catégories de produits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C3005A" w:rsidRPr="00BE1EBA" w:rsidTr="00C3005A">
        <w:trPr>
          <w:trHeight w:val="460"/>
        </w:trPr>
        <w:tc>
          <w:tcPr>
            <w:tcW w:w="1915" w:type="dxa"/>
            <w:vAlign w:val="center"/>
          </w:tcPr>
          <w:p w:rsidR="00C3005A" w:rsidRPr="00BE1EBA" w:rsidRDefault="00C3005A" w:rsidP="00C3005A">
            <w:pPr>
              <w:pStyle w:val="TableText"/>
            </w:pPr>
            <w:r w:rsidRPr="00BE1EBA">
              <w:t>Catégorie 1</w:t>
            </w:r>
          </w:p>
        </w:tc>
        <w:tc>
          <w:tcPr>
            <w:tcW w:w="1915" w:type="dxa"/>
            <w:vAlign w:val="center"/>
          </w:tcPr>
          <w:p w:rsidR="00C3005A" w:rsidRPr="00BE1EBA" w:rsidRDefault="00C3005A" w:rsidP="00C3005A">
            <w:pPr>
              <w:pStyle w:val="TableText"/>
            </w:pPr>
            <w:r w:rsidRPr="00BE1EBA">
              <w:t>Catégorie 2</w:t>
            </w:r>
          </w:p>
        </w:tc>
        <w:tc>
          <w:tcPr>
            <w:tcW w:w="1915" w:type="dxa"/>
            <w:vAlign w:val="center"/>
          </w:tcPr>
          <w:p w:rsidR="00C3005A" w:rsidRPr="00BE1EBA" w:rsidRDefault="00C3005A" w:rsidP="00C3005A">
            <w:pPr>
              <w:pStyle w:val="TableText"/>
            </w:pPr>
            <w:r w:rsidRPr="00BE1EBA">
              <w:t>Catégorie 3</w:t>
            </w:r>
          </w:p>
        </w:tc>
        <w:tc>
          <w:tcPr>
            <w:tcW w:w="1915" w:type="dxa"/>
            <w:vAlign w:val="center"/>
          </w:tcPr>
          <w:p w:rsidR="00C3005A" w:rsidRPr="00BE1EBA" w:rsidRDefault="00C3005A" w:rsidP="00C3005A">
            <w:pPr>
              <w:pStyle w:val="TableText"/>
            </w:pPr>
            <w:r w:rsidRPr="00BE1EBA">
              <w:t>Catégorie 4</w:t>
            </w:r>
          </w:p>
        </w:tc>
        <w:tc>
          <w:tcPr>
            <w:tcW w:w="1916" w:type="dxa"/>
            <w:vAlign w:val="center"/>
          </w:tcPr>
          <w:p w:rsidR="00C3005A" w:rsidRPr="00BE1EBA" w:rsidRDefault="00C3005A" w:rsidP="00C3005A">
            <w:pPr>
              <w:pStyle w:val="TableText"/>
            </w:pPr>
            <w:r w:rsidRPr="00BE1EBA">
              <w:t>Catégorie 5</w:t>
            </w:r>
          </w:p>
        </w:tc>
      </w:tr>
      <w:tr w:rsidR="00C3005A" w:rsidRPr="00BE1EBA" w:rsidTr="00C3005A">
        <w:trPr>
          <w:trHeight w:val="978"/>
        </w:trPr>
        <w:tc>
          <w:tcPr>
            <w:tcW w:w="1915" w:type="dxa"/>
          </w:tcPr>
          <w:p w:rsidR="00C3005A" w:rsidRPr="00BE1EBA" w:rsidRDefault="00C3005A" w:rsidP="00C3005A">
            <w:pPr>
              <w:pStyle w:val="TableText"/>
            </w:pPr>
            <w:r w:rsidRPr="00BE1EBA">
              <w:t>Cloisons interraccordables et systèmes autostables</w:t>
            </w:r>
          </w:p>
        </w:tc>
        <w:tc>
          <w:tcPr>
            <w:tcW w:w="1915" w:type="dxa"/>
          </w:tcPr>
          <w:p w:rsidR="00C3005A" w:rsidRPr="00BE1EBA" w:rsidRDefault="00C3005A" w:rsidP="00C3005A">
            <w:pPr>
              <w:pStyle w:val="TableText"/>
            </w:pPr>
            <w:r w:rsidRPr="00BE1EBA">
              <w:t>Tables ou bureaux autostables à hauteur réglable</w:t>
            </w:r>
          </w:p>
        </w:tc>
        <w:tc>
          <w:tcPr>
            <w:tcW w:w="1915" w:type="dxa"/>
          </w:tcPr>
          <w:p w:rsidR="00C3005A" w:rsidRPr="00BE1EBA" w:rsidRDefault="00C3005A" w:rsidP="00C3005A">
            <w:pPr>
              <w:pStyle w:val="TableText"/>
            </w:pPr>
            <w:r w:rsidRPr="00BE1EBA">
              <w:t>Classeurs et armoires de rangement métalliques</w:t>
            </w:r>
          </w:p>
        </w:tc>
        <w:tc>
          <w:tcPr>
            <w:tcW w:w="1915" w:type="dxa"/>
          </w:tcPr>
          <w:p w:rsidR="00C3005A" w:rsidRPr="00BE1EBA" w:rsidRDefault="00C3005A" w:rsidP="00C3005A">
            <w:pPr>
              <w:pStyle w:val="TableText"/>
            </w:pPr>
            <w:r w:rsidRPr="00BE1EBA">
              <w:t>Produits autostables en placage de bois</w:t>
            </w:r>
          </w:p>
        </w:tc>
        <w:tc>
          <w:tcPr>
            <w:tcW w:w="1916" w:type="dxa"/>
          </w:tcPr>
          <w:p w:rsidR="00C3005A" w:rsidRPr="00BE1EBA" w:rsidRDefault="00C3005A" w:rsidP="00C3005A">
            <w:pPr>
              <w:pStyle w:val="TableText"/>
            </w:pPr>
            <w:r w:rsidRPr="00BE1EBA">
              <w:t>Accessoires et appareils d</w:t>
            </w:r>
            <w:r w:rsidR="00812400" w:rsidRPr="00BE1EBA">
              <w:t>’</w:t>
            </w:r>
            <w:r w:rsidRPr="00BE1EBA">
              <w:t>éclairage</w:t>
            </w:r>
          </w:p>
        </w:tc>
      </w:tr>
    </w:tbl>
    <w:p w:rsidR="00C3005A" w:rsidRPr="00BE1EBA" w:rsidRDefault="00C3005A" w:rsidP="00C3005A">
      <w:pPr>
        <w:pStyle w:val="defaulttext0"/>
      </w:pPr>
      <w:r w:rsidRPr="00BE1EBA">
        <w:t xml:space="preserve">Veuillez vous reporter au catalogue des produits et services destinés aux </w:t>
      </w:r>
      <w:r w:rsidR="00A77994" w:rsidRPr="00BE1EBA">
        <w:t>postes de travail</w:t>
      </w:r>
      <w:r w:rsidRPr="00BE1EBA">
        <w:t>, à l</w:t>
      </w:r>
      <w:r w:rsidR="00812400" w:rsidRPr="00BE1EBA">
        <w:t>’</w:t>
      </w:r>
      <w:r w:rsidR="00102C5C" w:rsidRPr="00BE1EBA">
        <w:t>Annexe </w:t>
      </w:r>
      <w:r w:rsidRPr="00BE1EBA">
        <w:t>B, pour obtenir une liste détaillée des produits de chaque catégorie.</w:t>
      </w:r>
    </w:p>
    <w:p w:rsidR="00C3005A" w:rsidRPr="00BE1EBA" w:rsidRDefault="00C3005A" w:rsidP="00C3005A">
      <w:pPr>
        <w:pStyle w:val="ModlesEn-tte3"/>
      </w:pPr>
      <w:r w:rsidRPr="00BE1EBA">
        <w:t>6B.3</w:t>
      </w:r>
      <w:r w:rsidRPr="00BE1EBA">
        <w:tab/>
        <w:t>Calcul de la valeur moyenne estimative des produits et des services</w:t>
      </w:r>
    </w:p>
    <w:p w:rsidR="00C3005A" w:rsidRPr="00BE1EBA" w:rsidRDefault="00C3005A" w:rsidP="00C3005A">
      <w:r w:rsidRPr="00BE1EBA">
        <w:t>Les paliers de l</w:t>
      </w:r>
      <w:r w:rsidR="00812400" w:rsidRPr="00BE1EBA">
        <w:t>’</w:t>
      </w:r>
      <w:r w:rsidRPr="00BE1EBA">
        <w:t>AMA correspondent à l</w:t>
      </w:r>
      <w:r w:rsidR="00812400" w:rsidRPr="00BE1EBA">
        <w:t>’</w:t>
      </w:r>
      <w:r w:rsidRPr="00BE1EBA">
        <w:t>ensemble des procédures à suivre dans un processus d</w:t>
      </w:r>
      <w:r w:rsidR="00812400" w:rsidRPr="00BE1EBA">
        <w:t>’</w:t>
      </w:r>
      <w:r w:rsidRPr="00BE1EBA">
        <w:t xml:space="preserve">invitation à soumissionner. </w:t>
      </w:r>
    </w:p>
    <w:p w:rsidR="00C3005A" w:rsidRPr="00BE1EBA" w:rsidRDefault="00D906A8" w:rsidP="00C3005A">
      <w:r w:rsidRPr="007E1CCC">
        <w:rPr>
          <w:u w:val="single"/>
        </w:rPr>
        <w:t xml:space="preserve">3.1 </w:t>
      </w:r>
      <w:r w:rsidR="00C3005A" w:rsidRPr="007E1CCC">
        <w:rPr>
          <w:u w:val="single"/>
        </w:rPr>
        <w:t>Pour les produits, l</w:t>
      </w:r>
      <w:r w:rsidR="00812400" w:rsidRPr="007E1CCC">
        <w:rPr>
          <w:u w:val="single"/>
        </w:rPr>
        <w:t>’</w:t>
      </w:r>
      <w:r w:rsidR="00C3005A" w:rsidRPr="007E1CCC">
        <w:rPr>
          <w:u w:val="single"/>
        </w:rPr>
        <w:t>installation et la livraison </w:t>
      </w:r>
      <w:r w:rsidR="00C3005A" w:rsidRPr="007E1CCC">
        <w:t>:</w:t>
      </w:r>
    </w:p>
    <w:p w:rsidR="00C3005A" w:rsidRPr="00BE1EBA" w:rsidRDefault="00C3005A" w:rsidP="00C3005A">
      <w:r w:rsidRPr="00BE1EBA">
        <w:t>Les utilisateurs désignés établiront un palier pour chaque catégorie de produits en calculant la valeur moyenne estimative des produits de cette catégorie</w:t>
      </w:r>
      <w:r w:rsidR="00EF7715" w:rsidRPr="00BE1EBA">
        <w:t xml:space="preserve">. </w:t>
      </w:r>
    </w:p>
    <w:p w:rsidR="00C3005A" w:rsidRPr="00BE1EBA" w:rsidRDefault="00C3005A" w:rsidP="00C3005A">
      <w:r w:rsidRPr="00BE1EBA">
        <w:t>Voici la méthode suivie pour calculer la valeur moyenne estimative d</w:t>
      </w:r>
      <w:r w:rsidR="00812400" w:rsidRPr="00BE1EBA">
        <w:t>’</w:t>
      </w:r>
      <w:r w:rsidRPr="00BE1EBA">
        <w:t>une catégorie de produits :</w:t>
      </w:r>
    </w:p>
    <w:p w:rsidR="00C3005A" w:rsidRPr="00BE1EBA" w:rsidRDefault="00C3005A" w:rsidP="00C3005A">
      <w:r w:rsidRPr="00BE1EBA">
        <w:t>déterminer la valeur moyenne des produits de la catégorie de produits offerts par les fournisseurs conformes;</w:t>
      </w:r>
    </w:p>
    <w:p w:rsidR="00C3005A" w:rsidRPr="00BE1EBA" w:rsidRDefault="00C3005A" w:rsidP="00C3005A">
      <w:r w:rsidRPr="00BE1EBA">
        <w:t>ajouter les frais de livraison (3 %), s</w:t>
      </w:r>
      <w:r w:rsidR="00812400" w:rsidRPr="00BE1EBA">
        <w:t>’</w:t>
      </w:r>
      <w:r w:rsidRPr="00BE1EBA">
        <w:t>il y a lieu;</w:t>
      </w:r>
    </w:p>
    <w:p w:rsidR="00C3005A" w:rsidRPr="00BE1EBA" w:rsidRDefault="00C3005A" w:rsidP="00C3005A">
      <w:r w:rsidRPr="00BE1EBA">
        <w:t>ajouter les frais d</w:t>
      </w:r>
      <w:r w:rsidR="00812400" w:rsidRPr="00BE1EBA">
        <w:t>’</w:t>
      </w:r>
      <w:r w:rsidRPr="00BE1EBA">
        <w:t>installation (7 %), s</w:t>
      </w:r>
      <w:r w:rsidR="00812400" w:rsidRPr="00BE1EBA">
        <w:t>’</w:t>
      </w:r>
      <w:r w:rsidRPr="00BE1EBA">
        <w:t>il y a lieu;</w:t>
      </w:r>
    </w:p>
    <w:p w:rsidR="00C3005A" w:rsidRPr="00BE1EBA" w:rsidRDefault="00C3005A" w:rsidP="00C3005A">
      <w:r w:rsidRPr="00BE1EBA">
        <w:t>ajouter le coût du matériel (3 %);</w:t>
      </w:r>
    </w:p>
    <w:p w:rsidR="00C3005A" w:rsidRPr="00BE1EBA" w:rsidRDefault="00C3005A" w:rsidP="00C3005A">
      <w:r w:rsidRPr="00BE1EBA">
        <w:t xml:space="preserve">ajouter les taxes applicables. </w:t>
      </w:r>
    </w:p>
    <w:p w:rsidR="00C3005A" w:rsidRPr="00BE1EBA" w:rsidRDefault="00C3005A" w:rsidP="00C3005A">
      <w:r w:rsidRPr="00BE1EBA">
        <w:t>Lorsque la valeur moyenne estimative des produits de chaque catégorie a été calculée, le processus d</w:t>
      </w:r>
      <w:r w:rsidR="00812400" w:rsidRPr="00BE1EBA">
        <w:t>’</w:t>
      </w:r>
      <w:r w:rsidRPr="00BE1EBA">
        <w:t>invitation à soumissionner visant cette catégorie doit être suivi conformément à la méthode établie dans le palier correspondant.</w:t>
      </w:r>
    </w:p>
    <w:p w:rsidR="00C3005A" w:rsidRPr="00D906A8" w:rsidRDefault="00D906A8" w:rsidP="00C3005A">
      <w:pPr>
        <w:rPr>
          <w:u w:val="single"/>
        </w:rPr>
      </w:pPr>
      <w:r w:rsidRPr="007E1CCC">
        <w:rPr>
          <w:u w:val="single"/>
        </w:rPr>
        <w:t xml:space="preserve">3.2 </w:t>
      </w:r>
      <w:r w:rsidR="00C3005A" w:rsidRPr="007E1CCC">
        <w:rPr>
          <w:u w:val="single"/>
        </w:rPr>
        <w:t>Pour les services liés aux produits :</w:t>
      </w:r>
    </w:p>
    <w:p w:rsidR="00C3005A" w:rsidRPr="00BE1EBA" w:rsidRDefault="00C3005A" w:rsidP="00C3005A">
      <w:r w:rsidRPr="00BE1EBA">
        <w:t>Les services liés aux produits sont estimés sur une base horaire et calculés comme suit :</w:t>
      </w:r>
    </w:p>
    <w:p w:rsidR="00C3005A" w:rsidRPr="00BE1EBA" w:rsidRDefault="00C3005A" w:rsidP="00C3005A">
      <w:r w:rsidRPr="00BE1EBA">
        <w:t>déterminer le temps estimatif requis pour exécuter les travaux;</w:t>
      </w:r>
    </w:p>
    <w:p w:rsidR="00C3005A" w:rsidRPr="00BE1EBA" w:rsidRDefault="00C3005A" w:rsidP="00C3005A">
      <w:r w:rsidRPr="00BE1EBA">
        <w:t xml:space="preserve">déterminer la valeur médiane du taux horaire pour les services liés aux produits; </w:t>
      </w:r>
    </w:p>
    <w:p w:rsidR="00C3005A" w:rsidRPr="00BE1EBA" w:rsidRDefault="00C3005A" w:rsidP="00C3005A">
      <w:r w:rsidRPr="00BE1EBA">
        <w:t xml:space="preserve">ajouter les taxes applicables. </w:t>
      </w:r>
    </w:p>
    <w:p w:rsidR="00C3005A" w:rsidRPr="00D906A8" w:rsidRDefault="00D906A8" w:rsidP="00C3005A">
      <w:pPr>
        <w:rPr>
          <w:u w:val="single"/>
        </w:rPr>
      </w:pPr>
      <w:r w:rsidRPr="007E1CCC">
        <w:rPr>
          <w:u w:val="single"/>
        </w:rPr>
        <w:t xml:space="preserve">3.3 </w:t>
      </w:r>
      <w:r w:rsidR="00C3005A" w:rsidRPr="007E1CCC">
        <w:rPr>
          <w:u w:val="single"/>
        </w:rPr>
        <w:t>Les paliers sont les suivants :</w:t>
      </w:r>
    </w:p>
    <w:p w:rsidR="00C3005A" w:rsidRPr="00BE1EBA" w:rsidRDefault="00C3005A" w:rsidP="00C3005A">
      <w:r w:rsidRPr="00BE1EBA">
        <w:t>Palier 1 : valeur moyenne estimative comprise entre 0,01 $ et 24</w:t>
      </w:r>
      <w:r w:rsidR="00131D6E" w:rsidRPr="00BE1EBA">
        <w:t> </w:t>
      </w:r>
      <w:r w:rsidRPr="00BE1EBA">
        <w:t>999</w:t>
      </w:r>
      <w:r w:rsidR="00131D6E" w:rsidRPr="00BE1EBA">
        <w:t>,99</w:t>
      </w:r>
      <w:r w:rsidRPr="00BE1EBA">
        <w:t> $;</w:t>
      </w:r>
    </w:p>
    <w:p w:rsidR="00C3005A" w:rsidRPr="00BE1EBA" w:rsidRDefault="00C3005A" w:rsidP="00C3005A">
      <w:r w:rsidRPr="00BE1EBA">
        <w:t xml:space="preserve">Palier 2 : valeur moyenne estimative comprise entre 25 000 $ et 399 999,99 $; </w:t>
      </w:r>
    </w:p>
    <w:p w:rsidR="00C3005A" w:rsidRPr="00BE1EBA" w:rsidRDefault="00C3005A" w:rsidP="00C3005A">
      <w:r w:rsidRPr="00BE1EBA">
        <w:t>Palier 3 : valeur moyenne estimative comprise entre 400 000 $ et la valeur maximale établie dans le Programme d</w:t>
      </w:r>
      <w:r w:rsidR="00812400" w:rsidRPr="00BE1EBA">
        <w:t>’</w:t>
      </w:r>
      <w:r w:rsidRPr="00BE1EBA">
        <w:t>approvisionnement de TPSGC</w:t>
      </w:r>
      <w:r w:rsidR="00EF7715" w:rsidRPr="00BE1EBA">
        <w:t>.</w:t>
      </w:r>
      <w:r w:rsidR="002A6210" w:rsidRPr="00BE1EBA">
        <w:t xml:space="preserve"> </w:t>
      </w:r>
    </w:p>
    <w:p w:rsidR="00C3005A" w:rsidRPr="00BE1EBA" w:rsidRDefault="00C3005A" w:rsidP="00C3005A">
      <w:r w:rsidRPr="00BE1EBA">
        <w:t xml:space="preserve">La valeur des services liés aux produits ne peut dépasser la somme totale de 24 999,99 $, taxes applicables incluses. </w:t>
      </w:r>
    </w:p>
    <w:p w:rsidR="00C3005A" w:rsidRPr="00BE1EBA" w:rsidRDefault="00C3005A" w:rsidP="00C3005A">
      <w:pPr>
        <w:pStyle w:val="ModlesEn-tte3"/>
      </w:pPr>
      <w:r w:rsidRPr="00BE1EBA">
        <w:lastRenderedPageBreak/>
        <w:t>6B.4</w:t>
      </w:r>
      <w:r w:rsidRPr="00BE1EBA">
        <w:tab/>
        <w:t>Méthodes d</w:t>
      </w:r>
      <w:r w:rsidR="00812400" w:rsidRPr="00BE1EBA">
        <w:t>’</w:t>
      </w:r>
      <w:r w:rsidRPr="00BE1EBA">
        <w:t xml:space="preserve">invitation à soumissionner </w:t>
      </w:r>
    </w:p>
    <w:p w:rsidR="00D906A8" w:rsidRPr="00D906A8" w:rsidRDefault="00D906A8" w:rsidP="00C3005A">
      <w:pPr>
        <w:rPr>
          <w:u w:val="single"/>
        </w:rPr>
      </w:pPr>
      <w:r w:rsidRPr="007E1CCC">
        <w:rPr>
          <w:u w:val="single"/>
        </w:rPr>
        <w:t>4.1 Général</w:t>
      </w:r>
    </w:p>
    <w:p w:rsidR="00C3005A" w:rsidRPr="00BE1EBA" w:rsidRDefault="00C3005A" w:rsidP="00C3005A">
      <w:r w:rsidRPr="00BE1EBA">
        <w:t>Les fournisseurs sont assujettis aux processus de demande de soumissions pour le palier applicable décrits ci</w:t>
      </w:r>
      <w:r w:rsidR="003262E1" w:rsidRPr="00BE1EBA">
        <w:t>­</w:t>
      </w:r>
      <w:r w:rsidRPr="00BE1EBA">
        <w:t>dessous.</w:t>
      </w:r>
    </w:p>
    <w:p w:rsidR="00C3005A" w:rsidRPr="00BE1EBA" w:rsidRDefault="00C3005A" w:rsidP="00C3005A">
      <w:r w:rsidRPr="00BE1EBA">
        <w:t>Des offres seront sollicitées pour des besoins spécifiques dans le cadre de l</w:t>
      </w:r>
      <w:r w:rsidR="00812400" w:rsidRPr="00BE1EBA">
        <w:t>’</w:t>
      </w:r>
      <w:r w:rsidRPr="00BE1EBA">
        <w:t>AMA auprès de fournisseurs conformes titulaires d</w:t>
      </w:r>
      <w:r w:rsidR="00812400" w:rsidRPr="00BE1EBA">
        <w:t>’</w:t>
      </w:r>
      <w:r w:rsidRPr="00BE1EBA">
        <w:t>un AMA.</w:t>
      </w:r>
    </w:p>
    <w:p w:rsidR="00C3005A" w:rsidRPr="00BE1EBA" w:rsidRDefault="00C3005A" w:rsidP="00C3005A">
      <w:r w:rsidRPr="00BE1EBA">
        <w:t>Les fournisseurs conformes recevront les documents d</w:t>
      </w:r>
      <w:r w:rsidR="00812400" w:rsidRPr="00BE1EBA">
        <w:t>’</w:t>
      </w:r>
      <w:r w:rsidRPr="00BE1EBA">
        <w:t>invitation à soumissionner aux coordonnées de la personne</w:t>
      </w:r>
      <w:r w:rsidR="003262E1" w:rsidRPr="00BE1EBA">
        <w:t>­</w:t>
      </w:r>
      <w:r w:rsidRPr="00BE1EBA">
        <w:t>ressource indiquées à l</w:t>
      </w:r>
      <w:r w:rsidR="00812400" w:rsidRPr="00BE1EBA">
        <w:t>’</w:t>
      </w:r>
      <w:r w:rsidRPr="00BE1EBA">
        <w:t>alinéa 12.1.B de la partie 6A</w:t>
      </w:r>
      <w:r w:rsidR="00EF7715" w:rsidRPr="00BE1EBA">
        <w:t xml:space="preserve">. </w:t>
      </w:r>
      <w:r w:rsidRPr="00BE1EBA">
        <w:t>Le distributeur autorisé du fournisseur conforme ne recevra pas les documents d</w:t>
      </w:r>
      <w:r w:rsidR="00812400" w:rsidRPr="00BE1EBA">
        <w:t>’</w:t>
      </w:r>
      <w:r w:rsidRPr="00BE1EBA">
        <w:t>invitation à soumissionner directement de l</w:t>
      </w:r>
      <w:r w:rsidR="00812400" w:rsidRPr="00BE1EBA">
        <w:t>’</w:t>
      </w:r>
      <w:r w:rsidRPr="00BE1EBA">
        <w:t>utilisateur désigné.</w:t>
      </w:r>
    </w:p>
    <w:p w:rsidR="00C3005A" w:rsidRPr="00BE1EBA" w:rsidRDefault="00C3005A" w:rsidP="00C3005A">
      <w:r w:rsidRPr="00BE1EBA">
        <w:t>Les fournisseurs non titulaires d</w:t>
      </w:r>
      <w:r w:rsidR="00812400" w:rsidRPr="00BE1EBA">
        <w:t>’</w:t>
      </w:r>
      <w:r w:rsidRPr="00BE1EBA">
        <w:t>un AMA peuvent présenter une soumission à l</w:t>
      </w:r>
      <w:r w:rsidR="00812400" w:rsidRPr="00BE1EBA">
        <w:t>’</w:t>
      </w:r>
      <w:r w:rsidRPr="00BE1EBA">
        <w:t>utilisateur désigné, mais doivent également soumettre un arrangement au responsable de l</w:t>
      </w:r>
      <w:r w:rsidR="00812400" w:rsidRPr="00BE1EBA">
        <w:t>’</w:t>
      </w:r>
      <w:r w:rsidRPr="00BE1EBA">
        <w:t>AMA aux fins d</w:t>
      </w:r>
      <w:r w:rsidR="00812400" w:rsidRPr="00BE1EBA">
        <w:t>’</w:t>
      </w:r>
      <w:r w:rsidRPr="00BE1EBA">
        <w:t>évaluations</w:t>
      </w:r>
      <w:r w:rsidR="00EF7715" w:rsidRPr="00BE1EBA">
        <w:t xml:space="preserve">. </w:t>
      </w:r>
      <w:r w:rsidRPr="00BE1EBA">
        <w:t>Les fournisseurs non titulaires d</w:t>
      </w:r>
      <w:r w:rsidR="00812400" w:rsidRPr="00BE1EBA">
        <w:t>’</w:t>
      </w:r>
      <w:r w:rsidRPr="00BE1EBA">
        <w:t>un AMA ne peuvent pas obtenir de contrat à moins que le responsable de l</w:t>
      </w:r>
      <w:r w:rsidR="00812400" w:rsidRPr="00BE1EBA">
        <w:t>’</w:t>
      </w:r>
      <w:r w:rsidRPr="00BE1EBA">
        <w:t>AMA n</w:t>
      </w:r>
      <w:r w:rsidR="00812400" w:rsidRPr="00BE1EBA">
        <w:t>’</w:t>
      </w:r>
      <w:r w:rsidRPr="00BE1EBA">
        <w:t>ait attribué un AMA à ces fournisseurs pour les biens ou les services visés par la soumission</w:t>
      </w:r>
      <w:r w:rsidR="00EF7715" w:rsidRPr="00BE1EBA">
        <w:t xml:space="preserve">. </w:t>
      </w:r>
      <w:r w:rsidRPr="00BE1EBA">
        <w:t>Le Canada n</w:t>
      </w:r>
      <w:r w:rsidR="00812400" w:rsidRPr="00BE1EBA">
        <w:t>’</w:t>
      </w:r>
      <w:r w:rsidRPr="00BE1EBA">
        <w:t>est pas tenu de retarder l</w:t>
      </w:r>
      <w:r w:rsidR="00812400" w:rsidRPr="00BE1EBA">
        <w:t>’</w:t>
      </w:r>
      <w:r w:rsidRPr="00BE1EBA">
        <w:t>attribution d</w:t>
      </w:r>
      <w:r w:rsidR="00812400" w:rsidRPr="00BE1EBA">
        <w:t>’</w:t>
      </w:r>
      <w:r w:rsidRPr="00BE1EBA">
        <w:t>un contrat en attendant la réalisation d</w:t>
      </w:r>
      <w:r w:rsidR="00812400" w:rsidRPr="00BE1EBA">
        <w:t>’</w:t>
      </w:r>
      <w:r w:rsidRPr="00BE1EBA">
        <w:t>un processus d</w:t>
      </w:r>
      <w:r w:rsidR="00812400" w:rsidRPr="00BE1EBA">
        <w:t>’</w:t>
      </w:r>
      <w:r w:rsidRPr="00BE1EBA">
        <w:t>évaluation de la DGA et l</w:t>
      </w:r>
      <w:r w:rsidR="00812400" w:rsidRPr="00BE1EBA">
        <w:t>’</w:t>
      </w:r>
      <w:r w:rsidRPr="00BE1EBA">
        <w:t>attribution d</w:t>
      </w:r>
      <w:r w:rsidR="00812400" w:rsidRPr="00BE1EBA">
        <w:t>’</w:t>
      </w:r>
      <w:r w:rsidRPr="00BE1EBA">
        <w:t>un AMA aux fournisseurs non titulaires d</w:t>
      </w:r>
      <w:r w:rsidR="00812400" w:rsidRPr="00BE1EBA">
        <w:t>’</w:t>
      </w:r>
      <w:r w:rsidRPr="00BE1EBA">
        <w:t>un AMA.</w:t>
      </w:r>
    </w:p>
    <w:p w:rsidR="00C3005A" w:rsidRPr="00BE1EBA" w:rsidRDefault="00C3005A" w:rsidP="00C3005A">
      <w:r w:rsidRPr="00BE1EBA">
        <w:t>Lorsqu</w:t>
      </w:r>
      <w:r w:rsidR="00812400" w:rsidRPr="00BE1EBA">
        <w:t>’</w:t>
      </w:r>
      <w:r w:rsidRPr="00BE1EBA">
        <w:t>ils soumissionnent, les soumissionnaires ne doivent proposer que des produits figurant dans leur AMA.</w:t>
      </w:r>
    </w:p>
    <w:p w:rsidR="00F1502A" w:rsidRPr="00BE1EBA" w:rsidRDefault="00F1502A" w:rsidP="00F1502A">
      <w:r w:rsidRPr="00BE1EBA">
        <w:t>Les services liés à des produits ne peuvent pas être combinés aux besoins relatifs à la catégorie de produit</w:t>
      </w:r>
      <w:r w:rsidR="00EF7715" w:rsidRPr="00BE1EBA">
        <w:t xml:space="preserve">. </w:t>
      </w:r>
    </w:p>
    <w:p w:rsidR="00F1502A" w:rsidRPr="00BE1EBA" w:rsidRDefault="00D906A8" w:rsidP="00F1502A">
      <w:pPr>
        <w:rPr>
          <w:u w:val="single"/>
        </w:rPr>
      </w:pPr>
      <w:r w:rsidRPr="007E1CCC">
        <w:rPr>
          <w:u w:val="single"/>
        </w:rPr>
        <w:t xml:space="preserve">4.2 </w:t>
      </w:r>
      <w:r w:rsidR="00F1502A" w:rsidRPr="007E1CCC">
        <w:rPr>
          <w:u w:val="single"/>
        </w:rPr>
        <w:t>Besoins</w:t>
      </w:r>
      <w:r w:rsidR="00F1502A" w:rsidRPr="00BE1EBA">
        <w:rPr>
          <w:u w:val="single"/>
        </w:rPr>
        <w:t xml:space="preserve"> regroupés</w:t>
      </w:r>
    </w:p>
    <w:p w:rsidR="00F1502A" w:rsidRPr="00BE1EBA" w:rsidRDefault="00F1502A" w:rsidP="00F1502A">
      <w:r w:rsidRPr="00BE1EBA">
        <w:t>Pour le palier 1</w:t>
      </w:r>
    </w:p>
    <w:p w:rsidR="00F1502A" w:rsidRPr="00BE1EBA" w:rsidRDefault="00F1502A" w:rsidP="00F1502A">
      <w:r w:rsidRPr="00BE1EBA">
        <w:t>Le Canada peut publier une invitation à soumissionner et attribuer un contrat pour des catégories multiples, notamment des services liés aux produits, si la valeur totale ne dépasse pas 24 999,99 $, y compris l</w:t>
      </w:r>
      <w:r w:rsidR="00812400" w:rsidRPr="00BE1EBA">
        <w:t>’</w:t>
      </w:r>
      <w:r w:rsidRPr="00BE1EBA">
        <w:t>installation (s</w:t>
      </w:r>
      <w:r w:rsidR="00812400" w:rsidRPr="00BE1EBA">
        <w:t>’</w:t>
      </w:r>
      <w:r w:rsidRPr="00BE1EBA">
        <w:t>il y a lieu), la livraison (s</w:t>
      </w:r>
      <w:r w:rsidR="00812400" w:rsidRPr="00BE1EBA">
        <w:t>’</w:t>
      </w:r>
      <w:r w:rsidRPr="00BE1EBA">
        <w:t>il y a lieu), et les taxes applicables.</w:t>
      </w:r>
    </w:p>
    <w:p w:rsidR="00F1502A" w:rsidRPr="00BE1EBA" w:rsidRDefault="00F1502A" w:rsidP="00F1502A">
      <w:r w:rsidRPr="00BE1EBA">
        <w:t>Pour les paliers 2 et 3</w:t>
      </w:r>
    </w:p>
    <w:p w:rsidR="00F1502A" w:rsidRPr="00BE1EBA" w:rsidRDefault="00F1502A" w:rsidP="00F1502A">
      <w:r w:rsidRPr="00BE1EBA">
        <w:t>Le Canada peut publier une seule invitation à soumissionner pour plusieurs catégories de produit. Le Canada évaluera les soumissions et octroiera les contrats catégorie par catégorie. À des fins administratives, dans l</w:t>
      </w:r>
      <w:r w:rsidR="00812400" w:rsidRPr="00BE1EBA">
        <w:t>’</w:t>
      </w:r>
      <w:r w:rsidRPr="00BE1EBA">
        <w:t>éventualité où un même soumissionnaire remporterait plus d</w:t>
      </w:r>
      <w:r w:rsidR="00812400" w:rsidRPr="00BE1EBA">
        <w:t>’</w:t>
      </w:r>
      <w:r w:rsidRPr="00BE1EBA">
        <w:t>une catégorie, le Canada peut attribuer un seul contrat contenant les catégories obtenues par le soumissionnaire.</w:t>
      </w:r>
    </w:p>
    <w:p w:rsidR="00F1502A" w:rsidRPr="00D906A8" w:rsidRDefault="00D906A8" w:rsidP="00F1502A">
      <w:pPr>
        <w:rPr>
          <w:u w:val="single"/>
        </w:rPr>
      </w:pPr>
      <w:r w:rsidRPr="007E1CCC">
        <w:rPr>
          <w:u w:val="single"/>
        </w:rPr>
        <w:t xml:space="preserve">4.3 </w:t>
      </w:r>
      <w:r w:rsidR="00F1502A" w:rsidRPr="007E1CCC">
        <w:rPr>
          <w:u w:val="single"/>
        </w:rPr>
        <w:t>Méthodes par palier</w:t>
      </w:r>
    </w:p>
    <w:p w:rsidR="00F1502A" w:rsidRPr="00BE1EBA" w:rsidRDefault="00F1502A" w:rsidP="00F1502A">
      <w:r w:rsidRPr="00BE1EBA">
        <w:t>Les fournisseurs peuvent s</w:t>
      </w:r>
      <w:r w:rsidR="00812400" w:rsidRPr="00BE1EBA">
        <w:t>’</w:t>
      </w:r>
      <w:r w:rsidRPr="00BE1EBA">
        <w:t>attendre à recevoir des invitations à soumissionner ou des avis de demande de soumissions, ou encore des avis signalant l</w:t>
      </w:r>
      <w:r w:rsidR="00812400" w:rsidRPr="00BE1EBA">
        <w:t>’</w:t>
      </w:r>
      <w:r w:rsidRPr="00BE1EBA">
        <w:t>intention de l</w:t>
      </w:r>
      <w:r w:rsidR="00812400" w:rsidRPr="00BE1EBA">
        <w:t>’</w:t>
      </w:r>
      <w:r w:rsidRPr="00BE1EBA">
        <w:t>utilisateur désigné de lancer un appel d</w:t>
      </w:r>
      <w:r w:rsidR="00812400" w:rsidRPr="00BE1EBA">
        <w:t>’</w:t>
      </w:r>
      <w:r w:rsidRPr="00BE1EBA">
        <w:t>offres, comme suit.</w:t>
      </w:r>
    </w:p>
    <w:p w:rsidR="00F1502A" w:rsidRPr="00D906A8" w:rsidRDefault="00D906A8" w:rsidP="00F1502A">
      <w:pPr>
        <w:rPr>
          <w:u w:val="single"/>
        </w:rPr>
      </w:pPr>
      <w:r w:rsidRPr="007E1CCC">
        <w:rPr>
          <w:u w:val="single"/>
        </w:rPr>
        <w:t>4.3.1</w:t>
      </w:r>
      <w:r w:rsidR="00F1502A" w:rsidRPr="007E1CCC">
        <w:rPr>
          <w:u w:val="single"/>
        </w:rPr>
        <w:t>. Pour le palier 1</w:t>
      </w:r>
    </w:p>
    <w:p w:rsidR="00F1502A" w:rsidRPr="00BE1EBA" w:rsidRDefault="00F1502A" w:rsidP="00F1502A">
      <w:r w:rsidRPr="00BE1EBA">
        <w:t>Sauf dans le cas des exigences relatives à un produit d</w:t>
      </w:r>
      <w:r w:rsidR="00812400" w:rsidRPr="00BE1EBA">
        <w:t>’</w:t>
      </w:r>
      <w:r w:rsidRPr="00BE1EBA">
        <w:t>un fabricant spécifique ou à un unique fournisseur conforme, les utilisateurs désignés sont invités, sans toutefois y être tenus, à envoyer les documents de l</w:t>
      </w:r>
      <w:r w:rsidR="00812400" w:rsidRPr="00BE1EBA">
        <w:t>’</w:t>
      </w:r>
      <w:r w:rsidRPr="00BE1EBA">
        <w:t>invitation à soumissionner à au moins deux fournisseurs conformes.</w:t>
      </w:r>
    </w:p>
    <w:p w:rsidR="00C3005A" w:rsidRPr="00BE1EBA" w:rsidRDefault="00C3005A" w:rsidP="00C3005A">
      <w:r w:rsidRPr="00BE1EBA">
        <w:t>Les fournisseurs conformes peuvent recevoir un document d</w:t>
      </w:r>
      <w:r w:rsidR="00812400" w:rsidRPr="00BE1EBA">
        <w:t>’</w:t>
      </w:r>
      <w:r w:rsidRPr="00BE1EBA">
        <w:t>invitation à soumissionner directement des utilisateurs désignés</w:t>
      </w:r>
      <w:r w:rsidR="00EF7715" w:rsidRPr="00BE1EBA">
        <w:t xml:space="preserve">. </w:t>
      </w:r>
      <w:r w:rsidRPr="00BE1EBA">
        <w:t>Il est également possible que les fournisseurs doivent obtenir le document d</w:t>
      </w:r>
      <w:r w:rsidR="00812400" w:rsidRPr="00BE1EBA">
        <w:t>’</w:t>
      </w:r>
      <w:r w:rsidRPr="00BE1EBA">
        <w:t>invitation à soumissionner sur le SEAOG (toutefois, les utilisateurs désignés ne sont pas tenus d</w:t>
      </w:r>
      <w:r w:rsidR="00812400" w:rsidRPr="00BE1EBA">
        <w:t>’</w:t>
      </w:r>
      <w:r w:rsidRPr="00BE1EBA">
        <w:t>identifier les fournisseurs conformes dans le SEAOG)</w:t>
      </w:r>
      <w:r w:rsidR="00EF7715" w:rsidRPr="00BE1EBA">
        <w:t xml:space="preserve">. </w:t>
      </w:r>
      <w:r w:rsidRPr="00BE1EBA">
        <w:t>De plus, les fournisseurs conformes peuvent consulter les avis de projet de marché (APM) publiés par les utilisateurs désignés dans le SEAOG. Ces avis indiqueront si le document d</w:t>
      </w:r>
      <w:r w:rsidR="00812400" w:rsidRPr="00BE1EBA">
        <w:t>’</w:t>
      </w:r>
      <w:r w:rsidRPr="00BE1EBA">
        <w:t xml:space="preserve">invitation à soumissionner doit être obtenu auprès du SEAOG. </w:t>
      </w:r>
    </w:p>
    <w:p w:rsidR="00C3005A" w:rsidRPr="00BE1EBA" w:rsidRDefault="00C3005A" w:rsidP="00C3005A">
      <w:r w:rsidRPr="00BE1EBA">
        <w:t>Dans le cadre d</w:t>
      </w:r>
      <w:r w:rsidR="00812400" w:rsidRPr="00BE1EBA">
        <w:t>’</w:t>
      </w:r>
      <w:r w:rsidRPr="00BE1EBA">
        <w:t>un processus de palier 1, l</w:t>
      </w:r>
      <w:r w:rsidR="00812400" w:rsidRPr="00BE1EBA">
        <w:t>’</w:t>
      </w:r>
      <w:r w:rsidRPr="00BE1EBA">
        <w:t>utilisateur désigné peut demander une soumission orale ou écrite. Dans le cas d</w:t>
      </w:r>
      <w:r w:rsidR="00812400" w:rsidRPr="00BE1EBA">
        <w:t>’</w:t>
      </w:r>
      <w:r w:rsidRPr="00BE1EBA">
        <w:t>une demande de soumissions orale, tout contrat subséquent sera préparé à l</w:t>
      </w:r>
      <w:r w:rsidR="00812400" w:rsidRPr="00BE1EBA">
        <w:t>’</w:t>
      </w:r>
      <w:r w:rsidRPr="00BE1EBA">
        <w:t>aide des modèles de contrat subséquent du présent AMA.</w:t>
      </w:r>
    </w:p>
    <w:p w:rsidR="00C3005A" w:rsidRPr="00BE1EBA" w:rsidRDefault="00C3005A" w:rsidP="005737F4">
      <w:pPr>
        <w:keepNext/>
        <w:keepLines/>
      </w:pPr>
      <w:r w:rsidRPr="00BE1EBA">
        <w:lastRenderedPageBreak/>
        <w:t>Les scénarios suivants s</w:t>
      </w:r>
      <w:r w:rsidR="00812400" w:rsidRPr="00BE1EBA">
        <w:t>’</w:t>
      </w:r>
      <w:r w:rsidRPr="00BE1EBA">
        <w:t>appliquent :</w:t>
      </w:r>
    </w:p>
    <w:p w:rsidR="00C3005A" w:rsidRPr="00BE1EBA" w:rsidRDefault="00C3005A" w:rsidP="005737F4">
      <w:pPr>
        <w:keepNext/>
        <w:keepLines/>
      </w:pPr>
      <w:r w:rsidRPr="00BE1EBA">
        <w:t>Besoins concurrentiels :</w:t>
      </w:r>
    </w:p>
    <w:p w:rsidR="00C3005A" w:rsidRPr="00BE1EBA" w:rsidRDefault="00C3005A" w:rsidP="005737F4">
      <w:pPr>
        <w:keepNext/>
        <w:keepLines/>
      </w:pPr>
      <w:r w:rsidRPr="00BE1EBA">
        <w:t>Scénario 1 – Plusieurs fournisseurs conformes, palier 1 (jusqu</w:t>
      </w:r>
      <w:r w:rsidR="00812400" w:rsidRPr="00BE1EBA">
        <w:t>’</w:t>
      </w:r>
      <w:r w:rsidRPr="00BE1EBA">
        <w:t>à 24 999,99 $)</w:t>
      </w:r>
    </w:p>
    <w:p w:rsidR="00C3005A" w:rsidRPr="00BE1EBA" w:rsidRDefault="00C3005A" w:rsidP="005737F4">
      <w:pPr>
        <w:keepNext/>
        <w:keepLines/>
      </w:pPr>
      <w:r w:rsidRPr="00BE1EBA">
        <w:t>Scénario 2 – Produit manufacturé spécifique (au moins deux fournisseurs conformes)</w:t>
      </w:r>
    </w:p>
    <w:p w:rsidR="00C3005A" w:rsidRPr="00BE1EBA" w:rsidRDefault="00C3005A" w:rsidP="005737F4">
      <w:pPr>
        <w:keepNext/>
        <w:keepLines/>
      </w:pPr>
      <w:r w:rsidRPr="00BE1EBA">
        <w:t xml:space="preserve">Besoins non concurrentiels : </w:t>
      </w:r>
    </w:p>
    <w:p w:rsidR="00C3005A" w:rsidRPr="00BE1EBA" w:rsidRDefault="00C3005A" w:rsidP="00C3005A">
      <w:r w:rsidRPr="00BE1EBA">
        <w:t xml:space="preserve">Scénario 1 – Un fournisseur conforme unique </w:t>
      </w:r>
    </w:p>
    <w:p w:rsidR="00C3005A" w:rsidRPr="00BE1EBA" w:rsidRDefault="00C3005A" w:rsidP="00C3005A">
      <w:r w:rsidRPr="00BE1EBA">
        <w:t>Scénario 2 – palier 1 (jusqu</w:t>
      </w:r>
      <w:r w:rsidR="00812400" w:rsidRPr="00BE1EBA">
        <w:t>’</w:t>
      </w:r>
      <w:r w:rsidRPr="00BE1EBA">
        <w:t>à 24 999,99 $)</w:t>
      </w:r>
    </w:p>
    <w:p w:rsidR="00C3005A" w:rsidRPr="00BE1EBA" w:rsidRDefault="00C3005A" w:rsidP="00C3005A">
      <w:r w:rsidRPr="00BE1EBA">
        <w:t>Scénario 3 – Produit fabriqué spécifique (un fournisseur conforme)</w:t>
      </w:r>
    </w:p>
    <w:p w:rsidR="00C3005A" w:rsidRPr="00D906A8" w:rsidRDefault="00D906A8" w:rsidP="00C3005A">
      <w:pPr>
        <w:rPr>
          <w:u w:val="single"/>
        </w:rPr>
      </w:pPr>
      <w:r w:rsidRPr="007E1CCC">
        <w:rPr>
          <w:u w:val="single"/>
        </w:rPr>
        <w:t>4.3.2</w:t>
      </w:r>
      <w:r w:rsidR="00C3005A" w:rsidRPr="007E1CCC">
        <w:rPr>
          <w:u w:val="single"/>
        </w:rPr>
        <w:t>. Pour les paliers 2 et 3</w:t>
      </w:r>
    </w:p>
    <w:p w:rsidR="00C3005A" w:rsidRPr="00BE1EBA" w:rsidRDefault="00C3005A" w:rsidP="00C3005A">
      <w:r w:rsidRPr="00BE1EBA">
        <w:t>Les fournisseurs peuvent consulter les APM publiés par les utilisateurs désignés aux fins d</w:t>
      </w:r>
      <w:r w:rsidR="00812400" w:rsidRPr="00BE1EBA">
        <w:t>’</w:t>
      </w:r>
      <w:r w:rsidRPr="00BE1EBA">
        <w:t>offrir la possibilité de soumissionner à plus d</w:t>
      </w:r>
      <w:r w:rsidR="00812400" w:rsidRPr="00BE1EBA">
        <w:t>’</w:t>
      </w:r>
      <w:r w:rsidRPr="00BE1EBA">
        <w:t>un fournisseur (dans le cadre d</w:t>
      </w:r>
      <w:r w:rsidR="00812400" w:rsidRPr="00BE1EBA">
        <w:t>’</w:t>
      </w:r>
      <w:r w:rsidRPr="00BE1EBA">
        <w:t>un besoin concurrentiel) ou de contester l</w:t>
      </w:r>
      <w:r w:rsidR="00812400" w:rsidRPr="00BE1EBA">
        <w:t>’</w:t>
      </w:r>
      <w:r w:rsidRPr="00BE1EBA">
        <w:t xml:space="preserve">intention de transmettre une invitation à </w:t>
      </w:r>
      <w:r w:rsidR="00131D6E" w:rsidRPr="00BE1EBA">
        <w:t>soumissionner</w:t>
      </w:r>
      <w:r w:rsidRPr="00BE1EBA">
        <w:t xml:space="preserve"> à un fournisseur conforme (pour les besoins non concurrentiels). </w:t>
      </w:r>
    </w:p>
    <w:p w:rsidR="00C3005A" w:rsidRPr="00BE1EBA" w:rsidRDefault="00C3005A" w:rsidP="00C3005A">
      <w:r w:rsidRPr="00BE1EBA">
        <w:t>Les fournisseurs conformes peuvent recevoir les documents d</w:t>
      </w:r>
      <w:r w:rsidR="00812400" w:rsidRPr="00BE1EBA">
        <w:t>’</w:t>
      </w:r>
      <w:r w:rsidRPr="00BE1EBA">
        <w:t>invitation à soumissionner directement des utilisateurs désignés</w:t>
      </w:r>
      <w:r w:rsidR="00EF7715" w:rsidRPr="00BE1EBA">
        <w:t xml:space="preserve">. </w:t>
      </w:r>
      <w:r w:rsidRPr="00BE1EBA">
        <w:t>Il est également possible que les fournisseurs conformes doivent obtenir le document d</w:t>
      </w:r>
      <w:r w:rsidR="00812400" w:rsidRPr="00BE1EBA">
        <w:t>’</w:t>
      </w:r>
      <w:r w:rsidRPr="00BE1EBA">
        <w:t>invitation à soumissionner sur le SEAOG (toutefois, les utilisateurs désignés ne sont pas tenus d</w:t>
      </w:r>
      <w:r w:rsidR="00812400" w:rsidRPr="00BE1EBA">
        <w:t>’</w:t>
      </w:r>
      <w:r w:rsidRPr="00BE1EBA">
        <w:t>identifier les fournisseurs conformes dans le SEAOG)</w:t>
      </w:r>
      <w:r w:rsidR="00EF7715" w:rsidRPr="00BE1EBA">
        <w:t xml:space="preserve">. </w:t>
      </w:r>
      <w:r w:rsidRPr="00BE1EBA">
        <w:t>L</w:t>
      </w:r>
      <w:r w:rsidR="00812400" w:rsidRPr="00BE1EBA">
        <w:t>’</w:t>
      </w:r>
      <w:r w:rsidRPr="00BE1EBA">
        <w:t>APM indiquera si le document d</w:t>
      </w:r>
      <w:r w:rsidR="00812400" w:rsidRPr="00BE1EBA">
        <w:t>’</w:t>
      </w:r>
      <w:r w:rsidRPr="00BE1EBA">
        <w:t>invitation à soumissionner doit être obtenu auprès du SEAOG.</w:t>
      </w:r>
    </w:p>
    <w:p w:rsidR="00C3005A" w:rsidRPr="00BE1EBA" w:rsidRDefault="00C3005A" w:rsidP="00C3005A">
      <w:r w:rsidRPr="00BE1EBA">
        <w:t>Dans le cadre des achats visés par la SAEA, le contenu canadien s</w:t>
      </w:r>
      <w:r w:rsidR="00812400" w:rsidRPr="00BE1EBA">
        <w:t>’</w:t>
      </w:r>
      <w:r w:rsidRPr="00BE1EBA">
        <w:t>applique uniquement lorsque au moins deux fournisseurs conformes proposent dans leur AMA des produits conformes aux exigences du « contenu canadien » et lorsque la DGA/P est l</w:t>
      </w:r>
      <w:r w:rsidR="00812400" w:rsidRPr="00BE1EBA">
        <w:t>’</w:t>
      </w:r>
      <w:r w:rsidRPr="00BE1EBA">
        <w:t xml:space="preserve">autorité contractante. </w:t>
      </w:r>
    </w:p>
    <w:p w:rsidR="00C3005A" w:rsidRPr="00BE1EBA" w:rsidRDefault="00C3005A" w:rsidP="00C3005A">
      <w:r w:rsidRPr="00BE1EBA">
        <w:t>Les besoins de palier 3 sont</w:t>
      </w:r>
      <w:r w:rsidRPr="00BE1EBA">
        <w:rPr>
          <w:b/>
        </w:rPr>
        <w:t xml:space="preserve"> </w:t>
      </w:r>
      <w:r w:rsidRPr="00BE1EBA">
        <w:t>acquis uniquement par la DGA/P.</w:t>
      </w:r>
    </w:p>
    <w:p w:rsidR="00C3005A" w:rsidRPr="00BE1EBA" w:rsidRDefault="00C3005A" w:rsidP="00C3005A">
      <w:r w:rsidRPr="00BE1EBA">
        <w:t>Les scénarios suivants s</w:t>
      </w:r>
      <w:r w:rsidR="00812400" w:rsidRPr="00BE1EBA">
        <w:t>’</w:t>
      </w:r>
      <w:r w:rsidRPr="00BE1EBA">
        <w:t>appliquent :</w:t>
      </w:r>
    </w:p>
    <w:p w:rsidR="00C3005A" w:rsidRPr="00BE1EBA" w:rsidRDefault="00C3005A" w:rsidP="00C3005A">
      <w:r w:rsidRPr="00BE1EBA">
        <w:t>Besoins concurrentiels :</w:t>
      </w:r>
    </w:p>
    <w:p w:rsidR="00C3005A" w:rsidRPr="00BE1EBA" w:rsidRDefault="00C3005A" w:rsidP="00C3005A">
      <w:r w:rsidRPr="00BE1EBA">
        <w:t>Scénario 1 – Plusieurs fournisseurs conformes, paliers 2 et 3 (à partir de 25 000 $).</w:t>
      </w:r>
    </w:p>
    <w:p w:rsidR="00C3005A" w:rsidRPr="00BE1EBA" w:rsidRDefault="00C3005A" w:rsidP="00C3005A">
      <w:r w:rsidRPr="00BE1EBA">
        <w:t>Scénario 2 – Produit manufacturé spécifique (au moins deux fournisseurs conformes)</w:t>
      </w:r>
    </w:p>
    <w:p w:rsidR="00C3005A" w:rsidRPr="00BE1EBA" w:rsidRDefault="00C3005A" w:rsidP="00C3005A">
      <w:r w:rsidRPr="00BE1EBA">
        <w:t xml:space="preserve">Besoins non concurrentiels : </w:t>
      </w:r>
    </w:p>
    <w:p w:rsidR="00C3005A" w:rsidRPr="00BE1EBA" w:rsidRDefault="00C3005A" w:rsidP="00C3005A">
      <w:r w:rsidRPr="00BE1EBA">
        <w:t xml:space="preserve">Scénario 1 : Un fournisseur conforme unique </w:t>
      </w:r>
    </w:p>
    <w:p w:rsidR="00C3005A" w:rsidRPr="00BE1EBA" w:rsidRDefault="00C3005A" w:rsidP="00C3005A">
      <w:r w:rsidRPr="00BE1EBA">
        <w:t>Scénario 3 – Produit fabriqué spécifique (un fournisseur conforme unique)</w:t>
      </w:r>
    </w:p>
    <w:p w:rsidR="00C3005A" w:rsidRPr="00BE1EBA" w:rsidRDefault="00C3005A" w:rsidP="00C3005A">
      <w:pPr>
        <w:pStyle w:val="ModlesEn-tte3"/>
      </w:pPr>
      <w:r w:rsidRPr="00BE1EBA">
        <w:t>6B.5</w:t>
      </w:r>
      <w:r w:rsidRPr="00BE1EBA">
        <w:tab/>
        <w:t>Périodes d</w:t>
      </w:r>
      <w:r w:rsidR="00812400" w:rsidRPr="00BE1EBA">
        <w:t>’</w:t>
      </w:r>
      <w:r w:rsidRPr="00BE1EBA">
        <w:t>invitation à soumissionner par palier</w:t>
      </w:r>
    </w:p>
    <w:p w:rsidR="00C3005A" w:rsidRPr="00BE1EBA" w:rsidRDefault="00C3005A" w:rsidP="00C3005A">
      <w:r w:rsidRPr="00BE1EBA">
        <w:t>Voici les périodes minimales d</w:t>
      </w:r>
      <w:r w:rsidR="00812400" w:rsidRPr="00BE1EBA">
        <w:t>’</w:t>
      </w:r>
      <w:r w:rsidRPr="00BE1EBA">
        <w:t>invitation à soumissionner correspondant aux paliers :</w:t>
      </w:r>
    </w:p>
    <w:p w:rsidR="00C3005A" w:rsidRPr="00BE1EBA" w:rsidRDefault="00C3005A" w:rsidP="00C3005A">
      <w:r w:rsidRPr="00BE1EBA">
        <w:t>Palier 1 : 3 jours civils</w:t>
      </w:r>
    </w:p>
    <w:p w:rsidR="00C3005A" w:rsidRPr="00BE1EBA" w:rsidRDefault="00C3005A" w:rsidP="00C3005A">
      <w:r w:rsidRPr="00BE1EBA">
        <w:t>Palier 2 : 10 jours civils;</w:t>
      </w:r>
    </w:p>
    <w:p w:rsidR="00C3005A" w:rsidRPr="00BE1EBA" w:rsidRDefault="00C3005A" w:rsidP="00C3005A">
      <w:r w:rsidRPr="00BE1EBA">
        <w:t>Palier 3 : 15 jours civils.</w:t>
      </w:r>
    </w:p>
    <w:p w:rsidR="00C3005A" w:rsidRPr="00BE1EBA" w:rsidRDefault="00C3005A" w:rsidP="00C3005A">
      <w:r w:rsidRPr="00BE1EBA">
        <w:t>Les utilisateurs désignés peuvent disposer de plus de temps selon la portée et la complexité des besoins.</w:t>
      </w:r>
    </w:p>
    <w:p w:rsidR="00C3005A" w:rsidRPr="00BE1EBA" w:rsidRDefault="00C3005A" w:rsidP="00C3005A">
      <w:pPr>
        <w:pStyle w:val="ModlesEn-tte3"/>
      </w:pPr>
      <w:r w:rsidRPr="00BE1EBA">
        <w:t>6B.6</w:t>
      </w:r>
      <w:r w:rsidRPr="00BE1EBA">
        <w:tab/>
        <w:t>Documents d</w:t>
      </w:r>
      <w:r w:rsidR="00812400" w:rsidRPr="00BE1EBA">
        <w:t>’</w:t>
      </w:r>
      <w:r w:rsidRPr="00BE1EBA">
        <w:t>invitation à soumissionner et de contrat subséquent</w:t>
      </w:r>
    </w:p>
    <w:p w:rsidR="00C3005A" w:rsidRPr="00BE1EBA" w:rsidRDefault="00C3005A" w:rsidP="00C3005A">
      <w:pPr>
        <w:pStyle w:val="ModlesEn-tte3"/>
      </w:pPr>
      <w:bookmarkStart w:id="69" w:name="_Toc412634814"/>
      <w:r w:rsidRPr="00BE1EBA">
        <w:t>6B.6.1</w:t>
      </w:r>
      <w:r w:rsidRPr="00BE1EBA">
        <w:tab/>
        <w:t>Guide sur les modalités d</w:t>
      </w:r>
      <w:r w:rsidR="00812400" w:rsidRPr="00BE1EBA">
        <w:t>’</w:t>
      </w:r>
      <w:r w:rsidRPr="00BE1EBA">
        <w:t xml:space="preserve">aménagement des </w:t>
      </w:r>
      <w:r w:rsidR="00A77994" w:rsidRPr="00BE1EBA">
        <w:t>postes de travail</w:t>
      </w:r>
      <w:bookmarkEnd w:id="69"/>
    </w:p>
    <w:p w:rsidR="00C3005A" w:rsidRPr="00BE1EBA" w:rsidRDefault="00C3005A" w:rsidP="00C3005A">
      <w:r w:rsidRPr="00BE1EBA">
        <w:t>Ce guide contient l</w:t>
      </w:r>
      <w:r w:rsidR="00812400" w:rsidRPr="00BE1EBA">
        <w:t>’</w:t>
      </w:r>
      <w:r w:rsidRPr="00BE1EBA">
        <w:t>ensemble des modalités dans leur version intégrale faisant partie intégrale des demandes de soumissions individuelles en vertu du présent AMA. Ce guide contient des scénarios qui seront mentionnés par le Canada dans la demande de soumissions.</w:t>
      </w:r>
    </w:p>
    <w:p w:rsidR="00C3005A" w:rsidRPr="00BE1EBA" w:rsidRDefault="00C3005A" w:rsidP="00C3005A">
      <w:r w:rsidRPr="00BE1EBA">
        <w:t>Il figure à l</w:t>
      </w:r>
      <w:r w:rsidR="00812400" w:rsidRPr="00BE1EBA">
        <w:t>’</w:t>
      </w:r>
      <w:r w:rsidRPr="00BE1EBA">
        <w:t>Annexe D de l</w:t>
      </w:r>
      <w:r w:rsidR="00812400" w:rsidRPr="00BE1EBA">
        <w:t>’</w:t>
      </w:r>
      <w:r w:rsidRPr="00BE1EBA">
        <w:t>AMA.</w:t>
      </w:r>
    </w:p>
    <w:p w:rsidR="00C3005A" w:rsidRPr="00BE1EBA" w:rsidRDefault="00C3005A" w:rsidP="00C3005A">
      <w:r w:rsidRPr="00BE1EBA">
        <w:lastRenderedPageBreak/>
        <w:t>Le responsable de l</w:t>
      </w:r>
      <w:r w:rsidR="00812400" w:rsidRPr="00BE1EBA">
        <w:t>’</w:t>
      </w:r>
      <w:r w:rsidRPr="00BE1EBA">
        <w:t>AMA peut modifier le Guide en tout temps afin de tenir compte de ses besoins et d</w:t>
      </w:r>
      <w:r w:rsidR="00812400" w:rsidRPr="00BE1EBA">
        <w:t>’</w:t>
      </w:r>
      <w:r w:rsidRPr="00BE1EBA">
        <w:t>autres dispositions. Il demandera l</w:t>
      </w:r>
      <w:r w:rsidR="00812400" w:rsidRPr="00BE1EBA">
        <w:t>’</w:t>
      </w:r>
      <w:r w:rsidRPr="00BE1EBA">
        <w:t>approbation du fournisseur seulement dans les cas où les modifications sont importantes</w:t>
      </w:r>
      <w:r w:rsidR="00EF7715" w:rsidRPr="00BE1EBA">
        <w:t xml:space="preserve">. </w:t>
      </w:r>
      <w:r w:rsidRPr="00BE1EBA">
        <w:t>La confirmation de la publication se fera par une révision officielle de l</w:t>
      </w:r>
      <w:r w:rsidR="00812400" w:rsidRPr="00BE1EBA">
        <w:t>’</w:t>
      </w:r>
      <w:r w:rsidRPr="00BE1EBA">
        <w:t>AMA ou par un avis écrit. Dans ce dernier cas, l</w:t>
      </w:r>
      <w:r w:rsidR="00812400" w:rsidRPr="00BE1EBA">
        <w:t>’</w:t>
      </w:r>
      <w:r w:rsidRPr="00BE1EBA">
        <w:t>avis sera suivi par une révision officielle de l</w:t>
      </w:r>
      <w:r w:rsidR="00812400" w:rsidRPr="00BE1EBA">
        <w:t>’</w:t>
      </w:r>
      <w:r w:rsidRPr="00BE1EBA">
        <w:t>AMA incorporant en bonne et due forme la ou les nouvelles versions.</w:t>
      </w:r>
    </w:p>
    <w:p w:rsidR="00C3005A" w:rsidRPr="00BE1EBA" w:rsidRDefault="00C3005A" w:rsidP="00C3005A">
      <w:pPr>
        <w:pStyle w:val="ModlesEn-tte3"/>
      </w:pPr>
      <w:bookmarkStart w:id="70" w:name="_Toc412634815"/>
      <w:r w:rsidRPr="00BE1EBA">
        <w:t>6B.6.2</w:t>
      </w:r>
      <w:r w:rsidRPr="00BE1EBA">
        <w:tab/>
        <w:t>Modèle d</w:t>
      </w:r>
      <w:r w:rsidR="00812400" w:rsidRPr="00BE1EBA">
        <w:t>’</w:t>
      </w:r>
      <w:r w:rsidRPr="00BE1EBA">
        <w:t>invitation à soumissionner et de contrat subséquent</w:t>
      </w:r>
      <w:bookmarkEnd w:id="70"/>
    </w:p>
    <w:p w:rsidR="00702861" w:rsidRPr="00BE1EBA" w:rsidRDefault="00702861" w:rsidP="00702861">
      <w:r w:rsidRPr="00BE1EBA">
        <w:t>Ce modèle peut faire l</w:t>
      </w:r>
      <w:r w:rsidR="00812400" w:rsidRPr="00BE1EBA">
        <w:t>’</w:t>
      </w:r>
      <w:r w:rsidRPr="00BE1EBA">
        <w:t>objet de nombreux changements, y compris la création d</w:t>
      </w:r>
      <w:r w:rsidR="00812400" w:rsidRPr="00BE1EBA">
        <w:t>’</w:t>
      </w:r>
      <w:r w:rsidRPr="00BE1EBA">
        <w:t xml:space="preserve">une version automatisée du formulaire afin de simplifier le processus pour les utilisateurs désignés. </w:t>
      </w:r>
    </w:p>
    <w:p w:rsidR="00702861" w:rsidRPr="00BE1EBA" w:rsidRDefault="00702861" w:rsidP="00702861">
      <w:r w:rsidRPr="00BE1EBA">
        <w:t>Le responsable de l</w:t>
      </w:r>
      <w:r w:rsidR="00812400" w:rsidRPr="00BE1EBA">
        <w:t>’</w:t>
      </w:r>
      <w:r w:rsidRPr="00BE1EBA">
        <w:t>AMA peut modifier le modèle en tout temps. Il demandera l</w:t>
      </w:r>
      <w:r w:rsidR="00812400" w:rsidRPr="00BE1EBA">
        <w:t>’</w:t>
      </w:r>
      <w:r w:rsidRPr="00BE1EBA">
        <w:t>approbation du fournisseur seulement dans les cas où les modifications sont importantes</w:t>
      </w:r>
      <w:r w:rsidR="00EF7715" w:rsidRPr="00BE1EBA">
        <w:t xml:space="preserve">. </w:t>
      </w:r>
      <w:r w:rsidRPr="00BE1EBA">
        <w:t>La confirmation de la publication se fera par une révision officielle de l</w:t>
      </w:r>
      <w:r w:rsidR="00812400" w:rsidRPr="00BE1EBA">
        <w:t>’</w:t>
      </w:r>
      <w:r w:rsidRPr="00BE1EBA">
        <w:t>AMA ou par un avis écrit. Dans ce dernier cas, l</w:t>
      </w:r>
      <w:r w:rsidR="00812400" w:rsidRPr="00BE1EBA">
        <w:t>’</w:t>
      </w:r>
      <w:r w:rsidRPr="00BE1EBA">
        <w:t>avis sera suivi par une révision officielle de l</w:t>
      </w:r>
      <w:r w:rsidR="00812400" w:rsidRPr="00BE1EBA">
        <w:t>’</w:t>
      </w:r>
      <w:r w:rsidRPr="00BE1EBA">
        <w:t>AMA incorporant en bonne et due forme la ou les nouvelles versions.</w:t>
      </w:r>
    </w:p>
    <w:p w:rsidR="002E0479" w:rsidRPr="00BE1EBA" w:rsidRDefault="002E0479" w:rsidP="002E0479">
      <w:r w:rsidRPr="00BE1EBA">
        <w:rPr>
          <w:b/>
        </w:rPr>
        <w:t>PARTIE 6C     CLAUSES DU CONTRAT SUBSÉQUENT</w:t>
      </w:r>
    </w:p>
    <w:p w:rsidR="002E0479" w:rsidRPr="00BE1EBA" w:rsidRDefault="002E0479" w:rsidP="002E0479">
      <w:pPr>
        <w:rPr>
          <w:b/>
        </w:rPr>
      </w:pPr>
      <w:r w:rsidRPr="00BE1EBA">
        <w:rPr>
          <w:b/>
        </w:rPr>
        <w:t>1.</w:t>
      </w:r>
      <w:r w:rsidRPr="00BE1EBA">
        <w:tab/>
      </w:r>
      <w:r w:rsidRPr="00BE1EBA">
        <w:rPr>
          <w:b/>
        </w:rPr>
        <w:t>Généralités</w:t>
      </w:r>
    </w:p>
    <w:p w:rsidR="002E0479" w:rsidRPr="00BE1EBA" w:rsidRDefault="002E0479" w:rsidP="002E0479">
      <w:r w:rsidRPr="00BE1EBA">
        <w:t>Les conditions de tout contrat attribué en vertu de l</w:t>
      </w:r>
      <w:r w:rsidR="00812400" w:rsidRPr="00BE1EBA">
        <w:t>’</w:t>
      </w:r>
      <w:r w:rsidRPr="00BE1EBA">
        <w:t xml:space="preserve">AMA seront conformes aux modalités des clauses du contrat subséquent utilisées pour la demande de soumissions. </w:t>
      </w:r>
    </w:p>
    <w:p w:rsidR="002E0479" w:rsidRPr="00BE1EBA" w:rsidRDefault="002E0479" w:rsidP="002E0479"/>
    <w:p w:rsidR="00C3005A" w:rsidRPr="00BE1EBA" w:rsidRDefault="006D3CB4" w:rsidP="00C3005A">
      <w:r w:rsidRPr="00BE1EBA">
        <w:br w:type="page"/>
      </w:r>
    </w:p>
    <w:p w:rsidR="00B24B16" w:rsidRPr="00BE1EBA" w:rsidRDefault="00B24B16">
      <w:pPr>
        <w:pStyle w:val="DefaultText"/>
        <w:ind w:left="720" w:hanging="720"/>
      </w:pPr>
    </w:p>
    <w:p w:rsidR="00D07F21" w:rsidRPr="00BE1EBA" w:rsidRDefault="00D07F21" w:rsidP="00467857">
      <w:pPr>
        <w:pStyle w:val="ModlesEn-tte1"/>
      </w:pPr>
      <w:bookmarkStart w:id="71" w:name="_Toc413070291"/>
      <w:r w:rsidRPr="00BE1EBA">
        <w:t>ANNEXE A</w:t>
      </w:r>
      <w:bookmarkEnd w:id="71"/>
    </w:p>
    <w:p w:rsidR="00D07F21" w:rsidRPr="00BE1EBA" w:rsidRDefault="00D07F21" w:rsidP="00D07F21">
      <w:pPr>
        <w:pStyle w:val="ModlesEn-tte3"/>
        <w:jc w:val="center"/>
      </w:pPr>
      <w:bookmarkStart w:id="72" w:name="_Toc412634817"/>
      <w:r w:rsidRPr="00BE1EBA">
        <w:t xml:space="preserve">Besoin de mobilier pour les </w:t>
      </w:r>
      <w:r w:rsidR="00A77994" w:rsidRPr="00BE1EBA">
        <w:t>postes de travail</w:t>
      </w:r>
      <w:bookmarkEnd w:id="72"/>
    </w:p>
    <w:p w:rsidR="00D07F21" w:rsidRPr="00BE1EBA" w:rsidRDefault="00D07F21" w:rsidP="00D07F21"/>
    <w:p w:rsidR="00D07F21" w:rsidRPr="00BE1EBA" w:rsidRDefault="00D07F21" w:rsidP="00D07F21">
      <w:r w:rsidRPr="00BE1EBA">
        <w:t>L</w:t>
      </w:r>
      <w:r w:rsidR="00812400" w:rsidRPr="00BE1EBA">
        <w:t>’</w:t>
      </w:r>
      <w:r w:rsidRPr="00BE1EBA">
        <w:t>Annexe A comprend les dispositions associées à l</w:t>
      </w:r>
      <w:r w:rsidR="00812400" w:rsidRPr="00BE1EBA">
        <w:t>’</w:t>
      </w:r>
      <w:r w:rsidRPr="00BE1EBA">
        <w:t>exécution des travaux décrits dans les demandes de soumission du présent arrangement en matière d</w:t>
      </w:r>
      <w:r w:rsidR="00812400" w:rsidRPr="00BE1EBA">
        <w:t>’</w:t>
      </w:r>
      <w:r w:rsidRPr="00BE1EBA">
        <w:t>approvisionnement (AMA). L</w:t>
      </w:r>
      <w:r w:rsidR="00812400" w:rsidRPr="00BE1EBA">
        <w:t>’</w:t>
      </w:r>
      <w:r w:rsidRPr="00BE1EBA">
        <w:t>Annexe A comprend également ce qui suit :</w:t>
      </w:r>
    </w:p>
    <w:p w:rsidR="00D07F21" w:rsidRPr="00BE1EBA" w:rsidRDefault="00D07F21" w:rsidP="00D07F21">
      <w:r w:rsidRPr="00BE1EBA">
        <w:t>L</w:t>
      </w:r>
      <w:r w:rsidR="00812400" w:rsidRPr="00BE1EBA">
        <w:t>’</w:t>
      </w:r>
      <w:r w:rsidRPr="00BE1EBA">
        <w:t>Annexe A</w:t>
      </w:r>
      <w:r w:rsidR="003262E1" w:rsidRPr="00BE1EBA">
        <w:t>­</w:t>
      </w:r>
      <w:r w:rsidRPr="00BE1EBA">
        <w:t xml:space="preserve">1 – Spécifications </w:t>
      </w:r>
      <w:r w:rsidR="005C00D3">
        <w:t>pour d</w:t>
      </w:r>
      <w:r w:rsidRPr="00BE1EBA">
        <w:t xml:space="preserve">es </w:t>
      </w:r>
      <w:r w:rsidR="00A77994" w:rsidRPr="00BE1EBA">
        <w:t>postes de travail</w:t>
      </w:r>
    </w:p>
    <w:p w:rsidR="00D07F21" w:rsidRPr="005C00D3" w:rsidRDefault="00D07F21" w:rsidP="005C00D3">
      <w:pPr>
        <w:pStyle w:val="ModlesEn-tte3"/>
        <w:rPr>
          <w:b w:val="0"/>
        </w:rPr>
      </w:pPr>
      <w:r w:rsidRPr="005C00D3">
        <w:rPr>
          <w:b w:val="0"/>
        </w:rPr>
        <w:t>L</w:t>
      </w:r>
      <w:r w:rsidR="00812400" w:rsidRPr="005C00D3">
        <w:rPr>
          <w:b w:val="0"/>
        </w:rPr>
        <w:t>’</w:t>
      </w:r>
      <w:r w:rsidRPr="005C00D3">
        <w:rPr>
          <w:b w:val="0"/>
        </w:rPr>
        <w:t>Annexe A</w:t>
      </w:r>
      <w:r w:rsidR="003262E1" w:rsidRPr="005C00D3">
        <w:rPr>
          <w:b w:val="0"/>
        </w:rPr>
        <w:t>­</w:t>
      </w:r>
      <w:r w:rsidRPr="005C00D3">
        <w:rPr>
          <w:b w:val="0"/>
        </w:rPr>
        <w:t xml:space="preserve">2 – </w:t>
      </w:r>
      <w:r w:rsidR="005C00D3" w:rsidRPr="005C00D3">
        <w:rPr>
          <w:b w:val="0"/>
        </w:rPr>
        <w:t xml:space="preserve">Exigences environnementales </w:t>
      </w:r>
    </w:p>
    <w:p w:rsidR="00D906A8" w:rsidRPr="008F2713" w:rsidRDefault="00D906A8" w:rsidP="008F2713">
      <w:pPr>
        <w:pStyle w:val="ModlesEn-tte3"/>
        <w:rPr>
          <w:b w:val="0"/>
        </w:rPr>
      </w:pPr>
      <w:r w:rsidRPr="008F2713">
        <w:rPr>
          <w:b w:val="0"/>
        </w:rPr>
        <w:t xml:space="preserve">L’Annexe A­3 – </w:t>
      </w:r>
      <w:r w:rsidR="008F2713" w:rsidRPr="008F2713">
        <w:rPr>
          <w:b w:val="0"/>
        </w:rPr>
        <w:t>Produits livrables de l’arrangement en matière d’approvisionnement (AMA)</w:t>
      </w:r>
    </w:p>
    <w:p w:rsidR="00D07F21" w:rsidRPr="00BE1EBA" w:rsidRDefault="00D07F21" w:rsidP="00D07F21">
      <w:pPr>
        <w:pStyle w:val="ModlesEn-tte3"/>
      </w:pPr>
      <w:bookmarkStart w:id="73" w:name="_Toc412634818"/>
      <w:r w:rsidRPr="00BE1EBA">
        <w:t>1.</w:t>
      </w:r>
      <w:r w:rsidRPr="00BE1EBA">
        <w:tab/>
        <w:t>Fourniture des produits</w:t>
      </w:r>
      <w:bookmarkEnd w:id="73"/>
    </w:p>
    <w:p w:rsidR="00D07F21" w:rsidRPr="00BE1EBA" w:rsidRDefault="00D07F21" w:rsidP="00D07F21">
      <w:r w:rsidRPr="00BE1EBA">
        <w:t>1.1 Lorsque le contrat lui sera attribué dans le cadre de l</w:t>
      </w:r>
      <w:r w:rsidR="00812400" w:rsidRPr="00BE1EBA">
        <w:t>’</w:t>
      </w:r>
      <w:r w:rsidRPr="00BE1EBA">
        <w:t>AMA, le fournisseur doit fournir les produits demandés dans le contrat subséquent. Tous les produits doivent être conformes aux exigences de l</w:t>
      </w:r>
      <w:r w:rsidR="00812400" w:rsidRPr="00BE1EBA">
        <w:t>’</w:t>
      </w:r>
      <w:r w:rsidRPr="00BE1EBA">
        <w:t>invitation à soumissionner et ne doivent être que ceux indiqués dans l</w:t>
      </w:r>
      <w:r w:rsidR="00812400" w:rsidRPr="00BE1EBA">
        <w:t>’</w:t>
      </w:r>
      <w:r w:rsidRPr="00BE1EBA">
        <w:t>AMA.</w:t>
      </w:r>
    </w:p>
    <w:p w:rsidR="00D07F21" w:rsidRPr="00BE1EBA" w:rsidRDefault="00D07F21" w:rsidP="00D07F21">
      <w:r w:rsidRPr="00BE1EBA">
        <w:t>1.2 Tous les produits fournis doivent être conformes aux spécifications énoncées à l</w:t>
      </w:r>
      <w:r w:rsidR="00812400" w:rsidRPr="00BE1EBA">
        <w:t>’</w:t>
      </w:r>
      <w:r w:rsidRPr="00BE1EBA">
        <w:t>Annexe A</w:t>
      </w:r>
      <w:r w:rsidR="003262E1" w:rsidRPr="00BE1EBA">
        <w:t>­</w:t>
      </w:r>
      <w:r w:rsidRPr="00BE1EBA">
        <w:t>1.</w:t>
      </w:r>
    </w:p>
    <w:p w:rsidR="00D07F21" w:rsidRPr="00BE1EBA" w:rsidRDefault="00D07F21" w:rsidP="00D07F21">
      <w:pPr>
        <w:pStyle w:val="ModlesEn-tte3"/>
      </w:pPr>
      <w:bookmarkStart w:id="74" w:name="_Toc412634819"/>
      <w:r w:rsidRPr="00BE1EBA">
        <w:t>2.</w:t>
      </w:r>
      <w:r w:rsidRPr="00BE1EBA">
        <w:tab/>
        <w:t>Livraison des produits</w:t>
      </w:r>
      <w:bookmarkEnd w:id="74"/>
    </w:p>
    <w:p w:rsidR="00D07F21" w:rsidRPr="00BE1EBA" w:rsidRDefault="00D07F21" w:rsidP="00D07F21">
      <w:r w:rsidRPr="00BE1EBA">
        <w:t>2.1 Lorsque le contrat lui sera attribué dans le cadre de l</w:t>
      </w:r>
      <w:r w:rsidR="00812400" w:rsidRPr="00BE1EBA">
        <w:t>’</w:t>
      </w:r>
      <w:r w:rsidRPr="00BE1EBA">
        <w:t>AMA, le fournisseur doit livrer les produits conformément aux instructions de livraison figurant dans la demande de soumissions.</w:t>
      </w:r>
    </w:p>
    <w:p w:rsidR="00D07F21" w:rsidRPr="00BE1EBA" w:rsidRDefault="00D07F21" w:rsidP="00D07F21">
      <w:pPr>
        <w:pStyle w:val="ModlesEn-tte3"/>
      </w:pPr>
      <w:bookmarkStart w:id="75" w:name="_Toc412634820"/>
      <w:r w:rsidRPr="00BE1EBA">
        <w:t>3.</w:t>
      </w:r>
      <w:r w:rsidRPr="00BE1EBA">
        <w:tab/>
        <w:t>Installation des produits</w:t>
      </w:r>
      <w:bookmarkEnd w:id="75"/>
    </w:p>
    <w:p w:rsidR="00D07F21" w:rsidRPr="00BE1EBA" w:rsidRDefault="00D07F21" w:rsidP="00D07F21">
      <w:r w:rsidRPr="00BE1EBA">
        <w:t>Nonobstant le document 2010A, Conditions générales – Inspection et acceptation des travaux, les exigences suivantes s</w:t>
      </w:r>
      <w:r w:rsidR="00812400" w:rsidRPr="00BE1EBA">
        <w:t>’</w:t>
      </w:r>
      <w:r w:rsidRPr="00BE1EBA">
        <w:t>appliquent :</w:t>
      </w:r>
    </w:p>
    <w:p w:rsidR="00D07F21" w:rsidRPr="00BE1EBA" w:rsidRDefault="00D07F21" w:rsidP="00D07F21">
      <w:r w:rsidRPr="00BE1EBA">
        <w:t>Lorsque le contrat lui sera attribué dans le cadre de l</w:t>
      </w:r>
      <w:r w:rsidR="00812400" w:rsidRPr="00BE1EBA">
        <w:t>’</w:t>
      </w:r>
      <w:r w:rsidRPr="00BE1EBA">
        <w:t>AMA, le fournisseur doit fournir au minimum tous les services ci</w:t>
      </w:r>
      <w:r w:rsidR="003262E1" w:rsidRPr="00BE1EBA">
        <w:t>­</w:t>
      </w:r>
      <w:r w:rsidRPr="00BE1EBA">
        <w:t>dessous pour tous les produits fournis.</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Déplacer, sur demande, les produits jusqu</w:t>
      </w:r>
      <w:r w:rsidR="00812400" w:rsidRPr="00BE1EBA">
        <w:t>’</w:t>
      </w:r>
      <w:r w:rsidRPr="00BE1EBA">
        <w:t>à la zone de préparation ou d</w:t>
      </w:r>
      <w:r w:rsidR="00812400" w:rsidRPr="00BE1EBA">
        <w:t>’</w:t>
      </w:r>
      <w:r w:rsidRPr="00BE1EBA">
        <w:t>installation.</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Déballer toutes les pièces et inspecter les produits pour vérifier s</w:t>
      </w:r>
      <w:r w:rsidR="00812400" w:rsidRPr="00BE1EBA">
        <w:t>’</w:t>
      </w:r>
      <w:r w:rsidRPr="00BE1EBA">
        <w:t>ils ont subi des dommages pendant l</w:t>
      </w:r>
      <w:r w:rsidR="00812400" w:rsidRPr="00BE1EBA">
        <w:t>’</w:t>
      </w:r>
      <w:r w:rsidRPr="00BE1EBA">
        <w:t>expédition.</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Installer tous les produits conformément aux spécifications du fabricant.</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S</w:t>
      </w:r>
      <w:r w:rsidR="00812400" w:rsidRPr="00BE1EBA">
        <w:t>’</w:t>
      </w:r>
      <w:r w:rsidRPr="00BE1EBA">
        <w:t>assurer que tous les produits sont en bon état et faire les réparations nécessaires ou des ajustements mineurs, le cas échéant.</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Retoucher toutes les petites encoches et égratignures sur les produits qui peuvent avoir été causées par l</w:t>
      </w:r>
      <w:r w:rsidR="00812400" w:rsidRPr="00BE1EBA">
        <w:t>’</w:t>
      </w:r>
      <w:r w:rsidRPr="00BE1EBA">
        <w:t>installation.</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Nettoyer les produits une fois installés.</w:t>
      </w:r>
    </w:p>
    <w:p w:rsidR="00D07F21" w:rsidRPr="00BE1EBA" w:rsidRDefault="00D07F21" w:rsidP="007278F9">
      <w:pPr>
        <w:pStyle w:val="ListParagraph"/>
        <w:numPr>
          <w:ilvl w:val="0"/>
          <w:numId w:val="13"/>
        </w:numPr>
        <w:tabs>
          <w:tab w:val="left" w:pos="0"/>
        </w:tabs>
        <w:overflowPunct w:val="0"/>
        <w:autoSpaceDE w:val="0"/>
        <w:autoSpaceDN w:val="0"/>
        <w:adjustRightInd w:val="0"/>
        <w:spacing w:after="240"/>
        <w:ind w:left="1134" w:hanging="567"/>
        <w:contextualSpacing w:val="0"/>
        <w:textAlignment w:val="baseline"/>
        <w:rPr>
          <w:szCs w:val="20"/>
        </w:rPr>
      </w:pPr>
      <w:r w:rsidRPr="00BE1EBA">
        <w:t>Nettoyer les lieux d</w:t>
      </w:r>
      <w:r w:rsidR="00812400" w:rsidRPr="00BE1EBA">
        <w:t>’</w:t>
      </w:r>
      <w:r w:rsidRPr="00BE1EBA">
        <w:t>installation. Il doit être propre et ordonné et avoir un aspect professionnel en tout temps. Il doit enlever les rebuts.</w:t>
      </w:r>
    </w:p>
    <w:p w:rsidR="00D07F21" w:rsidRPr="00BE1EBA" w:rsidRDefault="00D07F21" w:rsidP="00D07F21">
      <w:pPr>
        <w:pStyle w:val="ListParagraph"/>
        <w:numPr>
          <w:ilvl w:val="0"/>
          <w:numId w:val="15"/>
        </w:numPr>
        <w:tabs>
          <w:tab w:val="left" w:pos="0"/>
        </w:tabs>
        <w:overflowPunct w:val="0"/>
        <w:autoSpaceDE w:val="0"/>
        <w:autoSpaceDN w:val="0"/>
        <w:adjustRightInd w:val="0"/>
        <w:spacing w:after="240"/>
        <w:ind w:left="426"/>
        <w:contextualSpacing w:val="0"/>
        <w:textAlignment w:val="baseline"/>
        <w:rPr>
          <w:b/>
          <w:szCs w:val="20"/>
        </w:rPr>
      </w:pPr>
      <w:r w:rsidRPr="00BE1EBA">
        <w:rPr>
          <w:b/>
        </w:rPr>
        <w:t>Inspection des lieux et documentation</w:t>
      </w:r>
    </w:p>
    <w:p w:rsidR="00D07F21" w:rsidRPr="00BE1EBA" w:rsidRDefault="00D07F21" w:rsidP="00D07F21">
      <w:pPr>
        <w:tabs>
          <w:tab w:val="left" w:pos="142"/>
        </w:tabs>
      </w:pPr>
      <w:r w:rsidRPr="00BE1EBA">
        <w:t>Lorsque le contrat lui sera attribué dans le cadre de l</w:t>
      </w:r>
      <w:r w:rsidR="00812400" w:rsidRPr="00BE1EBA">
        <w:t>’</w:t>
      </w:r>
      <w:r w:rsidRPr="00BE1EBA">
        <w:t>AMA, le fournisseur doit fournir au minimum tous les services ci</w:t>
      </w:r>
      <w:r w:rsidR="003262E1" w:rsidRPr="00BE1EBA">
        <w:t>­</w:t>
      </w:r>
      <w:r w:rsidRPr="00BE1EBA">
        <w:t>dessous pour tous les produits fournis lorsque les besoins comportent des plans d</w:t>
      </w:r>
      <w:r w:rsidR="00812400" w:rsidRPr="00BE1EBA">
        <w:t>’</w:t>
      </w:r>
      <w:r w:rsidRPr="00BE1EBA">
        <w:t>étage.</w:t>
      </w:r>
    </w:p>
    <w:p w:rsidR="00D07F21" w:rsidRPr="00BE1EBA" w:rsidRDefault="00D07F21" w:rsidP="00D07F21">
      <w:pPr>
        <w:pStyle w:val="ListParagraph"/>
        <w:ind w:left="567"/>
        <w:rPr>
          <w:szCs w:val="20"/>
        </w:rPr>
      </w:pPr>
    </w:p>
    <w:p w:rsidR="00D07F21" w:rsidRPr="00BE1EBA" w:rsidRDefault="00D07F21" w:rsidP="007278F9">
      <w:pPr>
        <w:pStyle w:val="ListParagraph"/>
        <w:numPr>
          <w:ilvl w:val="0"/>
          <w:numId w:val="14"/>
        </w:numPr>
        <w:tabs>
          <w:tab w:val="left" w:pos="1134"/>
        </w:tabs>
        <w:overflowPunct w:val="0"/>
        <w:autoSpaceDE w:val="0"/>
        <w:autoSpaceDN w:val="0"/>
        <w:adjustRightInd w:val="0"/>
        <w:spacing w:after="240"/>
        <w:ind w:left="1134" w:hanging="567"/>
        <w:contextualSpacing w:val="0"/>
        <w:textAlignment w:val="baseline"/>
        <w:rPr>
          <w:bCs/>
          <w:szCs w:val="20"/>
        </w:rPr>
      </w:pPr>
      <w:r w:rsidRPr="00BE1EBA">
        <w:lastRenderedPageBreak/>
        <w:t>Il doit procéder à l</w:t>
      </w:r>
      <w:r w:rsidR="00812400" w:rsidRPr="00BE1EBA">
        <w:t>’</w:t>
      </w:r>
      <w:r w:rsidRPr="00BE1EBA">
        <w:t>inspection de l</w:t>
      </w:r>
      <w:r w:rsidR="00812400" w:rsidRPr="00BE1EBA">
        <w:t>’</w:t>
      </w:r>
      <w:r w:rsidRPr="00BE1EBA">
        <w:t>état des lieux pour les étages ou les zones faisant partie du contrat</w:t>
      </w:r>
      <w:r w:rsidR="00EF7715" w:rsidRPr="00BE1EBA">
        <w:t xml:space="preserve">. </w:t>
      </w:r>
      <w:r w:rsidRPr="00BE1EBA">
        <w:t>L</w:t>
      </w:r>
      <w:r w:rsidR="00812400" w:rsidRPr="00BE1EBA">
        <w:t>’</w:t>
      </w:r>
      <w:r w:rsidRPr="00BE1EBA">
        <w:t>accès aux étages et aux zones doit être coordonné avec le chargé de projet</w:t>
      </w:r>
      <w:r w:rsidR="00EF7715" w:rsidRPr="00BE1EBA">
        <w:t xml:space="preserve">. </w:t>
      </w:r>
      <w:r w:rsidRPr="00BE1EBA">
        <w:t>L</w:t>
      </w:r>
      <w:r w:rsidR="00812400" w:rsidRPr="00BE1EBA">
        <w:t>’</w:t>
      </w:r>
      <w:r w:rsidRPr="00BE1EBA">
        <w:t>inspection doit avoir lieu au plus tard aux dates prescrites dans le contrat.</w:t>
      </w:r>
    </w:p>
    <w:p w:rsidR="00D07F21" w:rsidRPr="00BE1EBA" w:rsidRDefault="00D07F21" w:rsidP="007278F9">
      <w:pPr>
        <w:pStyle w:val="ListParagraph"/>
        <w:numPr>
          <w:ilvl w:val="0"/>
          <w:numId w:val="14"/>
        </w:numPr>
        <w:tabs>
          <w:tab w:val="left" w:pos="1134"/>
        </w:tabs>
        <w:overflowPunct w:val="0"/>
        <w:autoSpaceDE w:val="0"/>
        <w:autoSpaceDN w:val="0"/>
        <w:adjustRightInd w:val="0"/>
        <w:spacing w:after="240"/>
        <w:ind w:left="1134" w:hanging="567"/>
        <w:contextualSpacing w:val="0"/>
        <w:textAlignment w:val="baseline"/>
        <w:rPr>
          <w:bCs/>
          <w:szCs w:val="20"/>
        </w:rPr>
      </w:pPr>
      <w:r w:rsidRPr="00BE1EBA">
        <w:t>À l</w:t>
      </w:r>
      <w:r w:rsidR="00812400" w:rsidRPr="00BE1EBA">
        <w:t>’</w:t>
      </w:r>
      <w:r w:rsidRPr="00BE1EBA">
        <w:t>aide des renseignements obtenus pendant les inspections de l</w:t>
      </w:r>
      <w:r w:rsidR="00812400" w:rsidRPr="00BE1EBA">
        <w:t>’</w:t>
      </w:r>
      <w:r w:rsidRPr="00BE1EBA">
        <w:t>état des lieux et conformément à son AMA, le fournisseur doit préparer et présenter au chargé de projet, sans frais supplémentaires pour le Canada, des dessins d</w:t>
      </w:r>
      <w:r w:rsidR="00812400" w:rsidRPr="00BE1EBA">
        <w:t>’</w:t>
      </w:r>
      <w:r w:rsidRPr="00BE1EBA">
        <w:t>installation préliminaires complets pour chacun des étages ou zones inspectés, au plus tard cinq (5) jours ouvrables après l</w:t>
      </w:r>
      <w:r w:rsidR="00812400" w:rsidRPr="00BE1EBA">
        <w:t>’</w:t>
      </w:r>
      <w:r w:rsidRPr="00BE1EBA">
        <w:t>inspection de l</w:t>
      </w:r>
      <w:r w:rsidR="00812400" w:rsidRPr="00BE1EBA">
        <w:t>’</w:t>
      </w:r>
      <w:r w:rsidRPr="00BE1EBA">
        <w:t>état des lieux des étages ou des zones visés.</w:t>
      </w:r>
    </w:p>
    <w:p w:rsidR="00D07F21" w:rsidRPr="00BE1EBA" w:rsidRDefault="00D07F21" w:rsidP="00D07F21">
      <w:pPr>
        <w:pStyle w:val="ListParagraph"/>
        <w:ind w:left="567"/>
        <w:rPr>
          <w:szCs w:val="20"/>
        </w:rPr>
      </w:pPr>
      <w:r w:rsidRPr="00BE1EBA">
        <w:t>Les dessins d</w:t>
      </w:r>
      <w:r w:rsidR="00812400" w:rsidRPr="00BE1EBA">
        <w:t>’</w:t>
      </w:r>
      <w:r w:rsidRPr="00BE1EBA">
        <w:t>installation préliminaires doivent illustrer au moins ce qui suit :</w:t>
      </w:r>
    </w:p>
    <w:p w:rsidR="00D07F21" w:rsidRPr="00BE1EBA" w:rsidRDefault="00D07F21" w:rsidP="007278F9">
      <w:pPr>
        <w:tabs>
          <w:tab w:val="left" w:pos="1134"/>
        </w:tabs>
        <w:ind w:left="1134" w:hanging="567"/>
      </w:pPr>
      <w:r w:rsidRPr="00BE1EBA">
        <w:t>a)</w:t>
      </w:r>
      <w:r w:rsidRPr="00BE1EBA">
        <w:tab/>
        <w:t>L</w:t>
      </w:r>
      <w:r w:rsidR="00812400" w:rsidRPr="00BE1EBA">
        <w:t>’</w:t>
      </w:r>
      <w:r w:rsidRPr="00BE1EBA">
        <w:t>ensemble du mobilier (y compris la taille et les dimensions);</w:t>
      </w:r>
    </w:p>
    <w:p w:rsidR="00D07F21" w:rsidRPr="00BE1EBA" w:rsidRDefault="00D07F21" w:rsidP="007278F9">
      <w:pPr>
        <w:tabs>
          <w:tab w:val="left" w:pos="1134"/>
        </w:tabs>
        <w:ind w:left="1134" w:hanging="567"/>
      </w:pPr>
      <w:r w:rsidRPr="00BE1EBA">
        <w:t>b)</w:t>
      </w:r>
      <w:r w:rsidRPr="00BE1EBA">
        <w:tab/>
        <w:t>L</w:t>
      </w:r>
      <w:r w:rsidR="00812400" w:rsidRPr="00BE1EBA">
        <w:t>’</w:t>
      </w:r>
      <w:r w:rsidRPr="00BE1EBA">
        <w:t>emplacement du mobilier et les dimensions nécessaires pour assurer la conformité à tous les codes, normes et règlements applicables;</w:t>
      </w:r>
    </w:p>
    <w:p w:rsidR="00D07F21" w:rsidRPr="00BE1EBA" w:rsidRDefault="00D07F21" w:rsidP="007278F9">
      <w:pPr>
        <w:tabs>
          <w:tab w:val="left" w:pos="567"/>
          <w:tab w:val="left" w:pos="1134"/>
        </w:tabs>
        <w:ind w:left="1134" w:hanging="567"/>
      </w:pPr>
      <w:r w:rsidRPr="00BE1EBA">
        <w:t>c)</w:t>
      </w:r>
      <w:r w:rsidRPr="00BE1EBA">
        <w:tab/>
        <w:t>Les numéros de poste de travail et de salle;</w:t>
      </w:r>
    </w:p>
    <w:p w:rsidR="00D07F21" w:rsidRPr="00BE1EBA" w:rsidRDefault="00D07F21" w:rsidP="007278F9">
      <w:pPr>
        <w:tabs>
          <w:tab w:val="left" w:pos="567"/>
          <w:tab w:val="left" w:pos="1134"/>
        </w:tabs>
        <w:ind w:left="1134" w:hanging="567"/>
      </w:pPr>
      <w:r w:rsidRPr="00BE1EBA">
        <w:t>d)</w:t>
      </w:r>
      <w:r w:rsidRPr="00BE1EBA">
        <w:tab/>
        <w:t>Les indications sur les cloisons ou panneaux avec ou sans alimentation électrique;</w:t>
      </w:r>
    </w:p>
    <w:p w:rsidR="00D07F21" w:rsidRPr="00BE1EBA" w:rsidRDefault="00D07F21" w:rsidP="007278F9">
      <w:pPr>
        <w:tabs>
          <w:tab w:val="left" w:pos="567"/>
          <w:tab w:val="left" w:pos="1134"/>
        </w:tabs>
        <w:ind w:left="1134" w:hanging="567"/>
      </w:pPr>
      <w:r w:rsidRPr="00BE1EBA">
        <w:t>e)</w:t>
      </w:r>
      <w:r w:rsidRPr="00BE1EBA">
        <w:tab/>
        <w:t>Les indications de l</w:t>
      </w:r>
      <w:r w:rsidR="00812400" w:rsidRPr="00BE1EBA">
        <w:t>’</w:t>
      </w:r>
      <w:r w:rsidRPr="00BE1EBA">
        <w:t>emplacement des colonnettes techniques;</w:t>
      </w:r>
    </w:p>
    <w:p w:rsidR="00D07F21" w:rsidRPr="00BE1EBA" w:rsidRDefault="00D07F21" w:rsidP="007278F9">
      <w:pPr>
        <w:tabs>
          <w:tab w:val="left" w:pos="567"/>
          <w:tab w:val="left" w:pos="1134"/>
        </w:tabs>
        <w:ind w:left="1134" w:hanging="567"/>
      </w:pPr>
      <w:r w:rsidRPr="00BE1EBA">
        <w:t>f)</w:t>
      </w:r>
      <w:r w:rsidRPr="00BE1EBA">
        <w:tab/>
        <w:t>Les prises électriques</w:t>
      </w:r>
    </w:p>
    <w:p w:rsidR="00D07F21" w:rsidRPr="00BE1EBA" w:rsidRDefault="00D07F21" w:rsidP="007278F9">
      <w:pPr>
        <w:tabs>
          <w:tab w:val="left" w:pos="567"/>
          <w:tab w:val="left" w:pos="1134"/>
        </w:tabs>
        <w:ind w:left="1134" w:hanging="567"/>
      </w:pPr>
      <w:r w:rsidRPr="00BE1EBA">
        <w:t>g)</w:t>
      </w:r>
      <w:r w:rsidRPr="00BE1EBA">
        <w:tab/>
        <w:t>Les symboles de télécommunication et de données;</w:t>
      </w:r>
    </w:p>
    <w:p w:rsidR="00D07F21" w:rsidRPr="00BE1EBA" w:rsidRDefault="00D07F21" w:rsidP="007278F9">
      <w:pPr>
        <w:tabs>
          <w:tab w:val="left" w:pos="567"/>
          <w:tab w:val="left" w:pos="1134"/>
        </w:tabs>
        <w:ind w:left="1134" w:hanging="567"/>
      </w:pPr>
      <w:r w:rsidRPr="00BE1EBA">
        <w:t>h)</w:t>
      </w:r>
      <w:r w:rsidRPr="00BE1EBA">
        <w:tab/>
        <w:t>Les exigences relatives aux systèmes d</w:t>
      </w:r>
      <w:r w:rsidR="00812400" w:rsidRPr="00BE1EBA">
        <w:t>’</w:t>
      </w:r>
      <w:r w:rsidRPr="00BE1EBA">
        <w:t>éclairage;</w:t>
      </w:r>
    </w:p>
    <w:p w:rsidR="00D07F21" w:rsidRPr="00BE1EBA" w:rsidRDefault="00D07F21" w:rsidP="007278F9">
      <w:pPr>
        <w:tabs>
          <w:tab w:val="left" w:pos="567"/>
          <w:tab w:val="left" w:pos="1134"/>
        </w:tabs>
        <w:ind w:left="1134" w:hanging="567"/>
      </w:pPr>
      <w:r w:rsidRPr="00BE1EBA">
        <w:t>i)</w:t>
      </w:r>
      <w:r w:rsidRPr="00BE1EBA">
        <w:tab/>
        <w:t>Les modifications apportées aux plans d</w:t>
      </w:r>
      <w:r w:rsidR="00812400" w:rsidRPr="00BE1EBA">
        <w:t>’</w:t>
      </w:r>
      <w:r w:rsidRPr="00BE1EBA">
        <w:t>étage d</w:t>
      </w:r>
      <w:r w:rsidR="00812400" w:rsidRPr="00BE1EBA">
        <w:t>’</w:t>
      </w:r>
      <w:r w:rsidRPr="00BE1EBA">
        <w:t>origine (le cas échéant) ainsi que leur justification.</w:t>
      </w:r>
    </w:p>
    <w:p w:rsidR="00D07F21" w:rsidRPr="00BE1EBA" w:rsidRDefault="00D07F21" w:rsidP="00D07F21">
      <w:r w:rsidRPr="00BE1EBA">
        <w:t>Si, en raison de l</w:t>
      </w:r>
      <w:r w:rsidR="00812400" w:rsidRPr="00BE1EBA">
        <w:t>’</w:t>
      </w:r>
      <w:r w:rsidRPr="00BE1EBA">
        <w:t>état des lieux, il est nécessaire de couper des panneaux ou des surfaces de travail, le chargé de projet doit être avisé par écrit avant que ces travaux soient ajoutés aux dessins d</w:t>
      </w:r>
      <w:r w:rsidR="00812400" w:rsidRPr="00BE1EBA">
        <w:t>’</w:t>
      </w:r>
      <w:r w:rsidRPr="00BE1EBA">
        <w:t>installation.</w:t>
      </w:r>
    </w:p>
    <w:p w:rsidR="00D07F21" w:rsidRPr="00BE1EBA" w:rsidRDefault="00D07F21" w:rsidP="00D07F21">
      <w:r w:rsidRPr="00BE1EBA">
        <w:t>Lorsque le chargé de projet est satisfait des documents requis ci</w:t>
      </w:r>
      <w:r w:rsidR="003262E1" w:rsidRPr="00BE1EBA">
        <w:t>­</w:t>
      </w:r>
      <w:r w:rsidRPr="00BE1EBA">
        <w:t>dessus, il fournit au fournisseur l</w:t>
      </w:r>
      <w:r w:rsidR="00812400" w:rsidRPr="00BE1EBA">
        <w:t>’</w:t>
      </w:r>
      <w:r w:rsidRPr="00BE1EBA">
        <w:t>autorisation écrite de procéder à la fourniture, à la livraison et à l</w:t>
      </w:r>
      <w:r w:rsidR="00812400" w:rsidRPr="00BE1EBA">
        <w:t>’</w:t>
      </w:r>
      <w:r w:rsidRPr="00BE1EBA">
        <w:t>installation des marchandises. Les produits livrables dans le cadre de ce processus incluront au minimum les éléments suivants :</w:t>
      </w:r>
    </w:p>
    <w:p w:rsidR="00D07F21" w:rsidRPr="00BE1EBA" w:rsidRDefault="00D07F21" w:rsidP="00D07F21">
      <w:pPr>
        <w:tabs>
          <w:tab w:val="left" w:pos="567"/>
        </w:tabs>
        <w:ind w:left="1134" w:hanging="567"/>
      </w:pPr>
      <w:r w:rsidRPr="00BE1EBA">
        <w:t>a)</w:t>
      </w:r>
      <w:r w:rsidRPr="00BE1EBA">
        <w:tab/>
        <w:t>le dessin d</w:t>
      </w:r>
      <w:r w:rsidR="00812400" w:rsidRPr="00BE1EBA">
        <w:t>’</w:t>
      </w:r>
      <w:r w:rsidRPr="00BE1EBA">
        <w:t>installation définitif;</w:t>
      </w:r>
    </w:p>
    <w:p w:rsidR="00D07F21" w:rsidRPr="00BE1EBA" w:rsidRDefault="00D07F21" w:rsidP="00D07F21">
      <w:pPr>
        <w:tabs>
          <w:tab w:val="left" w:pos="567"/>
        </w:tabs>
        <w:ind w:left="1134" w:hanging="567"/>
      </w:pPr>
      <w:r w:rsidRPr="00BE1EBA">
        <w:t>b)</w:t>
      </w:r>
      <w:r w:rsidRPr="00BE1EBA">
        <w:tab/>
        <w:t>la liste de composants définitive;</w:t>
      </w:r>
    </w:p>
    <w:p w:rsidR="00D07F21" w:rsidRPr="00BE1EBA" w:rsidRDefault="00D07F21" w:rsidP="00D07F21">
      <w:pPr>
        <w:tabs>
          <w:tab w:val="left" w:pos="567"/>
        </w:tabs>
        <w:ind w:left="1134" w:hanging="567"/>
      </w:pPr>
      <w:r w:rsidRPr="00BE1EBA">
        <w:t>c)</w:t>
      </w:r>
      <w:r w:rsidRPr="00BE1EBA">
        <w:tab/>
        <w:t>le plan d</w:t>
      </w:r>
      <w:r w:rsidR="00812400" w:rsidRPr="00BE1EBA">
        <w:t>’</w:t>
      </w:r>
      <w:r w:rsidRPr="00BE1EBA">
        <w:t>étage définitif.</w:t>
      </w:r>
    </w:p>
    <w:p w:rsidR="00D07F21" w:rsidRPr="00BE1EBA" w:rsidRDefault="00D07F21" w:rsidP="00D07F21">
      <w:pPr>
        <w:pStyle w:val="ModlesEn-tte3"/>
      </w:pPr>
      <w:bookmarkStart w:id="76" w:name="_Toc412634821"/>
      <w:r w:rsidRPr="00BE1EBA">
        <w:t>5.</w:t>
      </w:r>
      <w:r w:rsidRPr="00BE1EBA">
        <w:tab/>
        <w:t>Inspection des produits</w:t>
      </w:r>
      <w:bookmarkEnd w:id="76"/>
    </w:p>
    <w:p w:rsidR="00D07F21" w:rsidRPr="00BE1EBA" w:rsidRDefault="00D07F21" w:rsidP="00D07F21">
      <w:pPr>
        <w:tabs>
          <w:tab w:val="left" w:pos="567"/>
        </w:tabs>
        <w:ind w:left="567"/>
      </w:pPr>
      <w:r w:rsidRPr="00BE1EBA">
        <w:t>Inspection et procédures en cas de postinstallation relatives aux travaux non conformes</w:t>
      </w:r>
    </w:p>
    <w:p w:rsidR="00D07F21" w:rsidRPr="00BE1EBA" w:rsidRDefault="00D07F21" w:rsidP="00D07F21">
      <w:pPr>
        <w:tabs>
          <w:tab w:val="left" w:pos="567"/>
        </w:tabs>
        <w:ind w:left="567"/>
      </w:pPr>
      <w:r w:rsidRPr="00BE1EBA">
        <w:t>Lorsque le contrat lui sera attribué dans le cadre de l</w:t>
      </w:r>
      <w:r w:rsidR="00812400" w:rsidRPr="00BE1EBA">
        <w:t>’</w:t>
      </w:r>
      <w:r w:rsidRPr="00BE1EBA">
        <w:t>AMA, le fournisseur doit se conformer aux procédures suivantes :</w:t>
      </w:r>
    </w:p>
    <w:p w:rsidR="00D07F21" w:rsidRPr="00BE1EBA" w:rsidRDefault="00D07F21" w:rsidP="00D07F21">
      <w:pPr>
        <w:pStyle w:val="ListParagraph"/>
        <w:tabs>
          <w:tab w:val="left" w:pos="567"/>
        </w:tabs>
        <w:ind w:left="567"/>
        <w:rPr>
          <w:szCs w:val="20"/>
        </w:rPr>
      </w:pPr>
      <w:r w:rsidRPr="00BE1EBA">
        <w:t>Il doit aviser le chargé de projet lorsque l</w:t>
      </w:r>
      <w:r w:rsidR="00812400" w:rsidRPr="00BE1EBA">
        <w:t>’</w:t>
      </w:r>
      <w:r w:rsidRPr="00BE1EBA">
        <w:t>installation est terminée. L</w:t>
      </w:r>
      <w:r w:rsidR="00812400" w:rsidRPr="00BE1EBA">
        <w:t>’</w:t>
      </w:r>
      <w:r w:rsidRPr="00BE1EBA">
        <w:t>avis doit être donné au plus tard un (1) jour ouvrable suivant la fin de l</w:t>
      </w:r>
      <w:r w:rsidR="00812400" w:rsidRPr="00BE1EBA">
        <w:t>’</w:t>
      </w:r>
      <w:r w:rsidRPr="00BE1EBA">
        <w:t>installation.</w:t>
      </w:r>
    </w:p>
    <w:p w:rsidR="00D07F21" w:rsidRPr="00BE1EBA" w:rsidRDefault="00D07F21" w:rsidP="00D07F21">
      <w:pPr>
        <w:pStyle w:val="ListParagraph"/>
        <w:tabs>
          <w:tab w:val="left" w:pos="567"/>
        </w:tabs>
        <w:ind w:left="567"/>
        <w:rPr>
          <w:szCs w:val="20"/>
        </w:rPr>
      </w:pPr>
      <w:r w:rsidRPr="00BE1EBA">
        <w:t>Le chargé de projet doit organiser la première inspection sommaire avec le fournisseur.</w:t>
      </w:r>
    </w:p>
    <w:p w:rsidR="00D07F21" w:rsidRPr="00BE1EBA" w:rsidRDefault="00D07F21" w:rsidP="00D07F21">
      <w:pPr>
        <w:pStyle w:val="ListParagraph"/>
        <w:tabs>
          <w:tab w:val="left" w:pos="567"/>
        </w:tabs>
        <w:ind w:left="567"/>
        <w:rPr>
          <w:szCs w:val="20"/>
        </w:rPr>
      </w:pPr>
      <w:r w:rsidRPr="00BE1EBA">
        <w:t>L</w:t>
      </w:r>
      <w:r w:rsidR="00812400" w:rsidRPr="00BE1EBA">
        <w:t>’</w:t>
      </w:r>
      <w:r w:rsidRPr="00BE1EBA">
        <w:t>inspection doit être faite au plus tard trois (3) jours ouvrables après l</w:t>
      </w:r>
      <w:r w:rsidR="00812400" w:rsidRPr="00BE1EBA">
        <w:t>’</w:t>
      </w:r>
      <w:r w:rsidRPr="00BE1EBA">
        <w:t>installation, à moins qu</w:t>
      </w:r>
      <w:r w:rsidR="00812400" w:rsidRPr="00BE1EBA">
        <w:t>’</w:t>
      </w:r>
      <w:r w:rsidRPr="00BE1EBA">
        <w:t>une autre date ne soit confirmée par le chargé de projet.</w:t>
      </w:r>
    </w:p>
    <w:p w:rsidR="00D07F21" w:rsidRPr="00BE1EBA" w:rsidRDefault="00D07F21" w:rsidP="00D07F21">
      <w:pPr>
        <w:pStyle w:val="ListParagraph"/>
        <w:tabs>
          <w:tab w:val="left" w:pos="567"/>
        </w:tabs>
        <w:ind w:left="567"/>
        <w:rPr>
          <w:szCs w:val="20"/>
        </w:rPr>
      </w:pPr>
      <w:r w:rsidRPr="00BE1EBA">
        <w:t>Si le contrat concerne une installation par étapes, l</w:t>
      </w:r>
      <w:r w:rsidR="00812400" w:rsidRPr="00BE1EBA">
        <w:t>’</w:t>
      </w:r>
      <w:r w:rsidRPr="00BE1EBA">
        <w:t>inspection sommaire doit avoir lieu au plus tard dans les trois (3) jours ouvrables suivant l</w:t>
      </w:r>
      <w:r w:rsidR="00812400" w:rsidRPr="00BE1EBA">
        <w:t>’</w:t>
      </w:r>
      <w:r w:rsidRPr="00BE1EBA">
        <w:t>achèvement de chaque étape, à moins qu</w:t>
      </w:r>
      <w:r w:rsidR="00812400" w:rsidRPr="00BE1EBA">
        <w:t>’</w:t>
      </w:r>
      <w:r w:rsidRPr="00BE1EBA">
        <w:t>une autre date ne soit confirmée par le chargé de projet.</w:t>
      </w:r>
    </w:p>
    <w:p w:rsidR="00D07F21" w:rsidRPr="00BE1EBA" w:rsidRDefault="00D07F21" w:rsidP="00D07F21">
      <w:pPr>
        <w:pStyle w:val="ListParagraph"/>
        <w:tabs>
          <w:tab w:val="left" w:pos="567"/>
        </w:tabs>
        <w:ind w:left="567"/>
        <w:rPr>
          <w:szCs w:val="20"/>
        </w:rPr>
      </w:pPr>
      <w:r w:rsidRPr="00BE1EBA">
        <w:t>Le chargé de projet doit dresser, en collaboration avec le fournisseur, la liste des travaux non conformes, décrivant tous les problèmes dans chaque zone d</w:t>
      </w:r>
      <w:r w:rsidR="00812400" w:rsidRPr="00BE1EBA">
        <w:t>’</w:t>
      </w:r>
      <w:r w:rsidRPr="00BE1EBA">
        <w:t>installation.</w:t>
      </w:r>
    </w:p>
    <w:p w:rsidR="00D07F21" w:rsidRPr="00BE1EBA" w:rsidRDefault="00D07F21" w:rsidP="00D07F21">
      <w:pPr>
        <w:pStyle w:val="ListParagraph"/>
        <w:tabs>
          <w:tab w:val="left" w:pos="567"/>
        </w:tabs>
        <w:ind w:left="567"/>
        <w:rPr>
          <w:szCs w:val="20"/>
        </w:rPr>
      </w:pPr>
      <w:r w:rsidRPr="00BE1EBA">
        <w:t>Le chargé de projet doit transmettre la liste des travaux non conformes au fournisseur.</w:t>
      </w:r>
    </w:p>
    <w:p w:rsidR="00D07F21" w:rsidRPr="00BE1EBA" w:rsidRDefault="00D07F21" w:rsidP="00D07F21">
      <w:pPr>
        <w:pStyle w:val="ListParagraph"/>
        <w:tabs>
          <w:tab w:val="left" w:pos="567"/>
        </w:tabs>
        <w:ind w:left="567"/>
        <w:rPr>
          <w:szCs w:val="20"/>
        </w:rPr>
      </w:pPr>
      <w:r w:rsidRPr="00BE1EBA">
        <w:lastRenderedPageBreak/>
        <w:t>Dans les trois (3) jours ouvrables qui suivent la réception de la liste des travaux non conformes, le fournisseur doit effectuer tous les travaux mineurs et apporter les ajustements pour lesquels aucune nouvelle pièce n</w:t>
      </w:r>
      <w:r w:rsidR="00812400" w:rsidRPr="00BE1EBA">
        <w:t>’</w:t>
      </w:r>
      <w:r w:rsidRPr="00BE1EBA">
        <w:t>est nécessaire, à moins qu</w:t>
      </w:r>
      <w:r w:rsidR="00812400" w:rsidRPr="00BE1EBA">
        <w:t>’</w:t>
      </w:r>
      <w:r w:rsidRPr="00BE1EBA">
        <w:t>une autre date ne soit confirmée par le chargé de projet. En ce qui concerne tous les autres travaux non conformes indiqués sur la liste, le fournisseur doit soumettre au chargé de projet, dans les quatorze (14) jours ouvrables suivant la réception de la liste, un plan d</w:t>
      </w:r>
      <w:r w:rsidR="00812400" w:rsidRPr="00BE1EBA">
        <w:t>’</w:t>
      </w:r>
      <w:r w:rsidRPr="00BE1EBA">
        <w:t>action correctif comprenant les dates de livraison et d</w:t>
      </w:r>
      <w:r w:rsidR="00812400" w:rsidRPr="00BE1EBA">
        <w:t>’</w:t>
      </w:r>
      <w:r w:rsidRPr="00BE1EBA">
        <w:t>achèvement à respecter dans les soixante (60) jours civils suivant la date de soumission de ce plan. Le chargé de projet peut demander que les corrections soient effectuées dans un délai plus court, ce que le fournisseur peut accepter, si possible. Le chargé de projet peut également accepter, à sa discrétion, un délai plus long.</w:t>
      </w:r>
    </w:p>
    <w:p w:rsidR="00D07F21" w:rsidRPr="00BE1EBA" w:rsidRDefault="00D07F21" w:rsidP="00D07F21">
      <w:pPr>
        <w:pStyle w:val="ListParagraph"/>
        <w:tabs>
          <w:tab w:val="left" w:pos="567"/>
        </w:tabs>
        <w:ind w:left="567"/>
        <w:rPr>
          <w:szCs w:val="20"/>
        </w:rPr>
      </w:pPr>
      <w:r w:rsidRPr="00BE1EBA">
        <w:t>Le fournisseur doit aviser le chargé de projet lorsque tous les travaux non conformes ont été corrigés. Si le chargé de projet est satisfait des corrections apportées, il doit fournir au fournisseur une attestation finale indiquant que les travaux non conformes ont été corrigés.</w:t>
      </w:r>
    </w:p>
    <w:p w:rsidR="00D07F21" w:rsidRPr="00BE1EBA" w:rsidRDefault="00D07F21" w:rsidP="00D07F21">
      <w:pPr>
        <w:rPr>
          <w:b/>
        </w:rPr>
      </w:pPr>
      <w:r w:rsidRPr="00BE1EBA">
        <w:rPr>
          <w:b/>
        </w:rPr>
        <w:t>6.</w:t>
      </w:r>
      <w:r w:rsidRPr="00BE1EBA">
        <w:tab/>
      </w:r>
      <w:r w:rsidRPr="00BE1EBA">
        <w:rPr>
          <w:b/>
        </w:rPr>
        <w:t>Heures de service</w:t>
      </w:r>
    </w:p>
    <w:p w:rsidR="00D07F21" w:rsidRPr="00BE1EBA" w:rsidRDefault="00D07F21" w:rsidP="00D07F21">
      <w:pPr>
        <w:pStyle w:val="ListParagraph"/>
        <w:ind w:left="567"/>
        <w:rPr>
          <w:b/>
          <w:bCs/>
        </w:rPr>
      </w:pPr>
      <w:r w:rsidRPr="00BE1EBA">
        <w:t>Le fournisseur doit livrer les produits et fournir tous les services aux dates et aux heures indiquées dans le contrat subséquent.</w:t>
      </w:r>
    </w:p>
    <w:p w:rsidR="00D07F21" w:rsidRPr="00BE1EBA" w:rsidRDefault="00D07F21" w:rsidP="00D07F21">
      <w:pPr>
        <w:pStyle w:val="ListParagraph"/>
        <w:ind w:left="567"/>
        <w:rPr>
          <w:b/>
          <w:bCs/>
        </w:rPr>
      </w:pPr>
      <w:r w:rsidRPr="00BE1EBA">
        <w:t>Toutes les demandes de soumissions et les soumissions doivent correspondre à la définition ci</w:t>
      </w:r>
      <w:r w:rsidR="003262E1" w:rsidRPr="00BE1EBA">
        <w:t>­</w:t>
      </w:r>
      <w:r w:rsidRPr="00BE1EBA">
        <w:t>dessous de « pendant les heures normales de travail » et « en dehors des heures normales de travail ».</w:t>
      </w:r>
    </w:p>
    <w:p w:rsidR="00D07F21" w:rsidRPr="00BE1EBA" w:rsidRDefault="00D07F21" w:rsidP="00D07F21">
      <w:pPr>
        <w:tabs>
          <w:tab w:val="left" w:pos="1701"/>
        </w:tabs>
        <w:ind w:left="1134" w:hanging="567"/>
      </w:pPr>
      <w:r w:rsidRPr="00BE1EBA">
        <w:tab/>
        <w:t xml:space="preserve">a) </w:t>
      </w:r>
      <w:r w:rsidRPr="00BE1EBA">
        <w:tab/>
        <w:t>L</w:t>
      </w:r>
      <w:r w:rsidR="00812400" w:rsidRPr="00BE1EBA">
        <w:t>’</w:t>
      </w:r>
      <w:r w:rsidRPr="00BE1EBA">
        <w:t>expression « pendant les heures normales de travail » signifie : de 8 h à 17 h,</w:t>
      </w:r>
    </w:p>
    <w:p w:rsidR="00D07F21" w:rsidRPr="00BE1EBA" w:rsidRDefault="00D07F21" w:rsidP="00D07F21">
      <w:pPr>
        <w:tabs>
          <w:tab w:val="left" w:pos="1701"/>
        </w:tabs>
        <w:ind w:left="1134" w:hanging="567"/>
      </w:pPr>
      <w:r w:rsidRPr="00BE1EBA">
        <w:tab/>
      </w:r>
      <w:r w:rsidRPr="00BE1EBA">
        <w:tab/>
        <w:t>du lundi au vendredi, à l</w:t>
      </w:r>
      <w:r w:rsidR="00812400" w:rsidRPr="00BE1EBA">
        <w:t>’</w:t>
      </w:r>
      <w:r w:rsidRPr="00BE1EBA">
        <w:t>exception des jours fériés du gouvernement fédéral.</w:t>
      </w:r>
    </w:p>
    <w:p w:rsidR="00D07F21" w:rsidRPr="00BE1EBA" w:rsidRDefault="00D07F21" w:rsidP="00D07F21">
      <w:pPr>
        <w:tabs>
          <w:tab w:val="left" w:pos="1701"/>
        </w:tabs>
        <w:ind w:left="1134" w:hanging="567"/>
      </w:pPr>
      <w:r w:rsidRPr="00BE1EBA">
        <w:tab/>
        <w:t xml:space="preserve">b) </w:t>
      </w:r>
      <w:r w:rsidRPr="00BE1EBA">
        <w:tab/>
        <w:t>L</w:t>
      </w:r>
      <w:r w:rsidR="00812400" w:rsidRPr="00BE1EBA">
        <w:t>’</w:t>
      </w:r>
      <w:r w:rsidRPr="00BE1EBA">
        <w:t>expression « en dehors des heures normales de travail » signifie :</w:t>
      </w:r>
    </w:p>
    <w:p w:rsidR="00D07F21" w:rsidRPr="00BE1EBA" w:rsidRDefault="00D07F21" w:rsidP="00D07F21">
      <w:pPr>
        <w:tabs>
          <w:tab w:val="left" w:pos="2268"/>
        </w:tabs>
        <w:ind w:left="2268" w:hanging="567"/>
      </w:pPr>
      <w:r w:rsidRPr="00BE1EBA">
        <w:t>i.</w:t>
      </w:r>
      <w:r w:rsidRPr="00BE1EBA">
        <w:tab/>
        <w:t>entre 17 h et 8 h, du lundi au vendredi, à l</w:t>
      </w:r>
      <w:r w:rsidR="00812400" w:rsidRPr="00BE1EBA">
        <w:t>’</w:t>
      </w:r>
      <w:r w:rsidRPr="00BE1EBA">
        <w:t>exception des jours fériés du gouvernement fédéral;</w:t>
      </w:r>
    </w:p>
    <w:p w:rsidR="00D07F21" w:rsidRPr="00BE1EBA" w:rsidRDefault="00D07F21" w:rsidP="00D07F21">
      <w:pPr>
        <w:tabs>
          <w:tab w:val="left" w:pos="2268"/>
        </w:tabs>
        <w:ind w:left="2268" w:hanging="567"/>
      </w:pPr>
      <w:r w:rsidRPr="00BE1EBA">
        <w:t>ii.</w:t>
      </w:r>
      <w:r w:rsidRPr="00BE1EBA">
        <w:tab/>
        <w:t>en tout temps les jours fériés du gouvernement fédéral;</w:t>
      </w:r>
    </w:p>
    <w:p w:rsidR="00D07F21" w:rsidRPr="00BE1EBA" w:rsidRDefault="00D07F21" w:rsidP="00D07F21">
      <w:pPr>
        <w:tabs>
          <w:tab w:val="left" w:pos="2268"/>
        </w:tabs>
        <w:ind w:left="2268" w:hanging="567"/>
      </w:pPr>
      <w:r w:rsidRPr="00BE1EBA">
        <w:t>iii.</w:t>
      </w:r>
      <w:r w:rsidRPr="00BE1EBA">
        <w:tab/>
        <w:t>en tout temps le samedi et/ou le dimanche.</w:t>
      </w:r>
    </w:p>
    <w:p w:rsidR="00D07F21" w:rsidRPr="00BE1EBA" w:rsidRDefault="00D07F21" w:rsidP="00D07F21">
      <w:pPr>
        <w:pStyle w:val="ModlesEn-tte3"/>
      </w:pPr>
      <w:bookmarkStart w:id="77" w:name="_Toc412634822"/>
      <w:r w:rsidRPr="00BE1EBA">
        <w:t>7.</w:t>
      </w:r>
      <w:r w:rsidRPr="00BE1EBA">
        <w:tab/>
        <w:t>Prestation de services liés aux produits :</w:t>
      </w:r>
      <w:bookmarkEnd w:id="77"/>
    </w:p>
    <w:p w:rsidR="00D07F21" w:rsidRPr="00BE1EBA" w:rsidRDefault="00D07F21" w:rsidP="00D07F21">
      <w:pPr>
        <w:pStyle w:val="ModlesEn-tte3"/>
      </w:pPr>
      <w:bookmarkStart w:id="78" w:name="_Toc412634823"/>
      <w:r w:rsidRPr="00BE1EBA">
        <w:t>7.1</w:t>
      </w:r>
      <w:r w:rsidRPr="00BE1EBA">
        <w:tab/>
        <w:t>Services de réaménagement</w:t>
      </w:r>
      <w:bookmarkEnd w:id="78"/>
    </w:p>
    <w:p w:rsidR="00D07F21" w:rsidRPr="00BE1EBA" w:rsidRDefault="00D07F21" w:rsidP="00D07F21">
      <w:r w:rsidRPr="00BE1EBA">
        <w:t>Le réaménagement consiste à réorganiser les produits existants afin de satisfaire aux besoins de l</w:t>
      </w:r>
      <w:r w:rsidR="00812400" w:rsidRPr="00BE1EBA">
        <w:t>’</w:t>
      </w:r>
      <w:r w:rsidRPr="00BE1EBA">
        <w:t>utilisateur désigné d</w:t>
      </w:r>
      <w:r w:rsidR="00812400" w:rsidRPr="00BE1EBA">
        <w:t>’</w:t>
      </w:r>
      <w:r w:rsidRPr="00BE1EBA">
        <w:t xml:space="preserve">un ou plusieurs </w:t>
      </w:r>
      <w:r w:rsidR="00A77994" w:rsidRPr="00BE1EBA">
        <w:t>postes de travail</w:t>
      </w:r>
      <w:r w:rsidRPr="00BE1EBA">
        <w:t>. L</w:t>
      </w:r>
      <w:r w:rsidR="00812400" w:rsidRPr="00BE1EBA">
        <w:t>’</w:t>
      </w:r>
      <w:r w:rsidRPr="00BE1EBA">
        <w:t xml:space="preserve">utilisateur désigné fournira au fournisseur un plan ou des exigences détaillées en vue de réorganiser le ou les </w:t>
      </w:r>
      <w:r w:rsidR="00A77994" w:rsidRPr="00BE1EBA">
        <w:t>postes de travail</w:t>
      </w:r>
      <w:r w:rsidRPr="00BE1EBA">
        <w:t>. À titre d</w:t>
      </w:r>
      <w:r w:rsidR="00812400" w:rsidRPr="00BE1EBA">
        <w:t>’</w:t>
      </w:r>
      <w:r w:rsidRPr="00BE1EBA">
        <w:t>exemple, les exigences détaillées peuvent être établies à la suite d</w:t>
      </w:r>
      <w:r w:rsidR="00812400" w:rsidRPr="00BE1EBA">
        <w:t>’</w:t>
      </w:r>
      <w:r w:rsidRPr="00BE1EBA">
        <w:t>une évaluation ergonomique ou être attribuables à d</w:t>
      </w:r>
      <w:r w:rsidR="00812400" w:rsidRPr="00BE1EBA">
        <w:t>’</w:t>
      </w:r>
      <w:r w:rsidRPr="00BE1EBA">
        <w:t>autres facteurs. Elles peuvent comprendre notamment une hauteur précise de surface de travail, l</w:t>
      </w:r>
      <w:r w:rsidR="00812400" w:rsidRPr="00BE1EBA">
        <w:t>’</w:t>
      </w:r>
      <w:r w:rsidRPr="00BE1EBA">
        <w:t>emplacement d</w:t>
      </w:r>
      <w:r w:rsidR="00812400" w:rsidRPr="00BE1EBA">
        <w:t>’</w:t>
      </w:r>
      <w:r w:rsidRPr="00BE1EBA">
        <w:t>un clavier ou d</w:t>
      </w:r>
      <w:r w:rsidR="00812400" w:rsidRPr="00BE1EBA">
        <w:t>’</w:t>
      </w:r>
      <w:r w:rsidRPr="00BE1EBA">
        <w:t>un support d</w:t>
      </w:r>
      <w:r w:rsidR="00812400" w:rsidRPr="00BE1EBA">
        <w:t>’</w:t>
      </w:r>
      <w:r w:rsidRPr="00BE1EBA">
        <w:t>écran.</w:t>
      </w:r>
    </w:p>
    <w:p w:rsidR="009E0D31" w:rsidRPr="00BE1EBA" w:rsidRDefault="009E0D31" w:rsidP="009E0D31">
      <w:pPr>
        <w:pStyle w:val="ModlesEn-tte3"/>
      </w:pPr>
      <w:bookmarkStart w:id="79" w:name="_Toc412634824"/>
      <w:r w:rsidRPr="00BE1EBA">
        <w:rPr>
          <w:w w:val="108"/>
        </w:rPr>
        <w:t>7.2</w:t>
      </w:r>
      <w:r w:rsidRPr="00BE1EBA">
        <w:tab/>
      </w:r>
      <w:r w:rsidRPr="00BE1EBA">
        <w:rPr>
          <w:w w:val="108"/>
        </w:rPr>
        <w:t>Services d</w:t>
      </w:r>
      <w:r w:rsidR="00812400" w:rsidRPr="00BE1EBA">
        <w:rPr>
          <w:w w:val="108"/>
        </w:rPr>
        <w:t>’</w:t>
      </w:r>
      <w:r w:rsidRPr="00BE1EBA">
        <w:rPr>
          <w:w w:val="108"/>
        </w:rPr>
        <w:t>inventaire et d</w:t>
      </w:r>
      <w:r w:rsidR="00812400" w:rsidRPr="00BE1EBA">
        <w:rPr>
          <w:w w:val="108"/>
        </w:rPr>
        <w:t>’</w:t>
      </w:r>
      <w:r w:rsidRPr="00BE1EBA">
        <w:rPr>
          <w:w w:val="108"/>
        </w:rPr>
        <w:t>évaluation de l</w:t>
      </w:r>
      <w:r w:rsidR="00812400" w:rsidRPr="00BE1EBA">
        <w:rPr>
          <w:w w:val="108"/>
        </w:rPr>
        <w:t>’</w:t>
      </w:r>
      <w:r w:rsidRPr="00BE1EBA">
        <w:rPr>
          <w:w w:val="108"/>
        </w:rPr>
        <w:t>ameublement existant</w:t>
      </w:r>
      <w:bookmarkEnd w:id="79"/>
    </w:p>
    <w:p w:rsidR="009E0D31" w:rsidRPr="00BE1EBA" w:rsidRDefault="009E0D31" w:rsidP="009E0D31">
      <w:r w:rsidRPr="00BE1EBA">
        <w:t>Ces services visent à procéder au recensement ou à l</w:t>
      </w:r>
      <w:r w:rsidR="00812400" w:rsidRPr="00BE1EBA">
        <w:t>’</w:t>
      </w:r>
      <w:r w:rsidRPr="00BE1EBA">
        <w:t>évaluation de l</w:t>
      </w:r>
      <w:r w:rsidR="00812400" w:rsidRPr="00BE1EBA">
        <w:t>’</w:t>
      </w:r>
      <w:r w:rsidRPr="00BE1EBA">
        <w:t>état du mobilier existant et à fournir un rapport comprenant un ou plusieurs des éléments suivants :</w:t>
      </w:r>
    </w:p>
    <w:p w:rsidR="009E0D31" w:rsidRPr="00BE1EBA" w:rsidRDefault="009E0D31" w:rsidP="009E0D31">
      <w:pPr>
        <w:pStyle w:val="NormalWeb"/>
        <w:numPr>
          <w:ilvl w:val="0"/>
          <w:numId w:val="26"/>
        </w:numPr>
        <w:spacing w:before="0" w:beforeAutospacing="0" w:after="240" w:afterAutospacing="0"/>
        <w:ind w:left="1134" w:hanging="567"/>
        <w:textAlignment w:val="auto"/>
      </w:pPr>
      <w:r w:rsidRPr="00BE1EBA">
        <w:t xml:space="preserve">Identification du fabricant et des séries; </w:t>
      </w:r>
    </w:p>
    <w:p w:rsidR="009E0D31" w:rsidRPr="00BE1EBA" w:rsidRDefault="009E0D31" w:rsidP="009E0D31">
      <w:pPr>
        <w:pStyle w:val="NormalWeb"/>
        <w:numPr>
          <w:ilvl w:val="0"/>
          <w:numId w:val="26"/>
        </w:numPr>
        <w:spacing w:before="0" w:beforeAutospacing="0" w:after="240" w:afterAutospacing="0"/>
        <w:ind w:left="1134" w:hanging="567"/>
        <w:textAlignment w:val="auto"/>
      </w:pPr>
      <w:r w:rsidRPr="00BE1EBA">
        <w:t>Indication du type de meubles (p. ex. surfaces de travail, bureaux, classeurs, etc.), de leurs dimensions et de leur nombre, description des finitions et des couleurs;</w:t>
      </w:r>
    </w:p>
    <w:p w:rsidR="009E0D31" w:rsidRPr="00BE1EBA" w:rsidRDefault="009E0D31" w:rsidP="009E0D31">
      <w:pPr>
        <w:pStyle w:val="ListParagraph"/>
        <w:numPr>
          <w:ilvl w:val="0"/>
          <w:numId w:val="26"/>
        </w:numPr>
        <w:tabs>
          <w:tab w:val="left" w:pos="0"/>
        </w:tabs>
        <w:overflowPunct w:val="0"/>
        <w:autoSpaceDE w:val="0"/>
        <w:autoSpaceDN w:val="0"/>
        <w:adjustRightInd w:val="0"/>
        <w:spacing w:after="240"/>
        <w:ind w:left="1134" w:hanging="567"/>
        <w:contextualSpacing w:val="0"/>
      </w:pPr>
      <w:r w:rsidRPr="00BE1EBA">
        <w:t>Évaluation de l</w:t>
      </w:r>
      <w:r w:rsidR="00812400" w:rsidRPr="00BE1EBA">
        <w:t>’</w:t>
      </w:r>
      <w:r w:rsidRPr="00BE1EBA">
        <w:t xml:space="preserve">état du mobilier existant; </w:t>
      </w:r>
    </w:p>
    <w:p w:rsidR="009E0D31" w:rsidRPr="00BE1EBA" w:rsidRDefault="009E0D31" w:rsidP="009E0D31">
      <w:pPr>
        <w:pStyle w:val="ListParagraph"/>
        <w:numPr>
          <w:ilvl w:val="0"/>
          <w:numId w:val="26"/>
        </w:numPr>
        <w:tabs>
          <w:tab w:val="left" w:pos="0"/>
        </w:tabs>
        <w:overflowPunct w:val="0"/>
        <w:autoSpaceDE w:val="0"/>
        <w:autoSpaceDN w:val="0"/>
        <w:adjustRightInd w:val="0"/>
        <w:spacing w:after="240"/>
        <w:ind w:left="1134" w:hanging="567"/>
        <w:contextualSpacing w:val="0"/>
      </w:pPr>
      <w:r w:rsidRPr="00BE1EBA">
        <w:t>Évaluation de l</w:t>
      </w:r>
      <w:r w:rsidR="00812400" w:rsidRPr="00BE1EBA">
        <w:t>’</w:t>
      </w:r>
      <w:r w:rsidRPr="00BE1EBA">
        <w:t>état des systèmes électriques existants;</w:t>
      </w:r>
    </w:p>
    <w:p w:rsidR="009E0D31" w:rsidRPr="00BE1EBA" w:rsidRDefault="009E0D31" w:rsidP="009E0D31">
      <w:pPr>
        <w:pStyle w:val="ListParagraph"/>
        <w:numPr>
          <w:ilvl w:val="0"/>
          <w:numId w:val="26"/>
        </w:numPr>
        <w:tabs>
          <w:tab w:val="left" w:pos="0"/>
        </w:tabs>
        <w:overflowPunct w:val="0"/>
        <w:autoSpaceDE w:val="0"/>
        <w:autoSpaceDN w:val="0"/>
        <w:adjustRightInd w:val="0"/>
        <w:spacing w:after="240"/>
        <w:ind w:left="1134" w:hanging="567"/>
        <w:contextualSpacing w:val="0"/>
      </w:pPr>
      <w:r w:rsidRPr="00BE1EBA">
        <w:t>Fourniture d</w:t>
      </w:r>
      <w:r w:rsidR="00812400" w:rsidRPr="00BE1EBA">
        <w:t>’</w:t>
      </w:r>
      <w:r w:rsidRPr="00BE1EBA">
        <w:t>un plan indiquant la disposition du mobilier existant.</w:t>
      </w:r>
    </w:p>
    <w:p w:rsidR="009E0D31" w:rsidRPr="00BE1EBA" w:rsidRDefault="009E0D31" w:rsidP="009E0D31">
      <w:pPr>
        <w:rPr>
          <w:w w:val="106"/>
        </w:rPr>
      </w:pPr>
      <w:r w:rsidRPr="00BE1EBA">
        <w:rPr>
          <w:w w:val="113"/>
        </w:rPr>
        <w:lastRenderedPageBreak/>
        <w:t>Celui</w:t>
      </w:r>
      <w:r w:rsidR="003262E1" w:rsidRPr="00BE1EBA">
        <w:rPr>
          <w:w w:val="113"/>
        </w:rPr>
        <w:t>­</w:t>
      </w:r>
      <w:r w:rsidRPr="00BE1EBA">
        <w:rPr>
          <w:w w:val="113"/>
        </w:rPr>
        <w:t>ci doit comprendre la désignation de l</w:t>
      </w:r>
      <w:r w:rsidR="00812400" w:rsidRPr="00BE1EBA">
        <w:rPr>
          <w:w w:val="113"/>
        </w:rPr>
        <w:t>’</w:t>
      </w:r>
      <w:r w:rsidRPr="00BE1EBA">
        <w:rPr>
          <w:w w:val="113"/>
        </w:rPr>
        <w:t>emplacement existant, le nom de l</w:t>
      </w:r>
      <w:r w:rsidR="00812400" w:rsidRPr="00BE1EBA">
        <w:rPr>
          <w:w w:val="113"/>
        </w:rPr>
        <w:t>’</w:t>
      </w:r>
      <w:r w:rsidRPr="00BE1EBA">
        <w:rPr>
          <w:w w:val="113"/>
        </w:rPr>
        <w:t>utilisateur ou le numéro du poste de travail, s</w:t>
      </w:r>
      <w:r w:rsidR="00812400" w:rsidRPr="00BE1EBA">
        <w:rPr>
          <w:w w:val="113"/>
        </w:rPr>
        <w:t>’</w:t>
      </w:r>
      <w:r w:rsidRPr="00BE1EBA">
        <w:rPr>
          <w:w w:val="113"/>
        </w:rPr>
        <w:t>il y a lieu.</w:t>
      </w:r>
    </w:p>
    <w:p w:rsidR="00D07F21" w:rsidRPr="00BE1EBA" w:rsidRDefault="00D07F21" w:rsidP="00D07F21">
      <w:r w:rsidRPr="00BE1EBA">
        <w:rPr>
          <w:w w:val="106"/>
        </w:rPr>
        <w:t>Les documents associés aux services mentionnés ci</w:t>
      </w:r>
      <w:r w:rsidR="003262E1" w:rsidRPr="00BE1EBA">
        <w:rPr>
          <w:w w:val="106"/>
        </w:rPr>
        <w:t>­</w:t>
      </w:r>
      <w:r w:rsidRPr="00BE1EBA">
        <w:rPr>
          <w:w w:val="106"/>
        </w:rPr>
        <w:t>dessus doivent être établis dans le format lisible et modifiable demandé par l</w:t>
      </w:r>
      <w:r w:rsidR="00812400" w:rsidRPr="00BE1EBA">
        <w:rPr>
          <w:w w:val="106"/>
        </w:rPr>
        <w:t>’</w:t>
      </w:r>
      <w:r w:rsidRPr="00BE1EBA">
        <w:rPr>
          <w:w w:val="106"/>
        </w:rPr>
        <w:t>utilisateur désigné dans la demande de soumissions et rédigés dans la langue officielle choisie par l</w:t>
      </w:r>
      <w:r w:rsidR="00812400" w:rsidRPr="00BE1EBA">
        <w:rPr>
          <w:w w:val="106"/>
        </w:rPr>
        <w:t>’</w:t>
      </w:r>
      <w:r w:rsidRPr="00BE1EBA">
        <w:rPr>
          <w:w w:val="106"/>
        </w:rPr>
        <w:t>utilisateur désigné.</w:t>
      </w:r>
    </w:p>
    <w:p w:rsidR="00702861" w:rsidRPr="00BE1EBA" w:rsidRDefault="006D3CB4" w:rsidP="00702861">
      <w:r w:rsidRPr="00BE1EBA">
        <w:br w:type="page"/>
      </w:r>
    </w:p>
    <w:p w:rsidR="00D07F21" w:rsidRPr="00984A68" w:rsidRDefault="00DF07A4" w:rsidP="00467857">
      <w:pPr>
        <w:pStyle w:val="ModlesEn-tte1"/>
      </w:pPr>
      <w:bookmarkStart w:id="80" w:name="_Toc413070292"/>
      <w:r w:rsidRPr="00984A68">
        <w:lastRenderedPageBreak/>
        <w:t>ANNEXE A</w:t>
      </w:r>
      <w:r w:rsidR="003262E1" w:rsidRPr="00984A68">
        <w:t>­</w:t>
      </w:r>
      <w:r w:rsidRPr="00984A68">
        <w:t>1</w:t>
      </w:r>
      <w:bookmarkEnd w:id="80"/>
    </w:p>
    <w:p w:rsidR="007278F9" w:rsidRPr="00BE1EBA" w:rsidRDefault="007278F9" w:rsidP="00984A68">
      <w:pPr>
        <w:pStyle w:val="ModlesEn-tte3"/>
        <w:jc w:val="center"/>
        <w:rPr>
          <w:szCs w:val="20"/>
        </w:rPr>
      </w:pPr>
      <w:bookmarkStart w:id="81" w:name="_Toc412634826"/>
      <w:r w:rsidRPr="00BE1EBA">
        <w:t>SPÉCIFICATIONS POUR DES POSTES DE TRAVAIL</w:t>
      </w:r>
      <w:bookmarkEnd w:id="81"/>
    </w:p>
    <w:p w:rsidR="00D07F21" w:rsidRPr="00BE1EBA" w:rsidRDefault="00D07F21" w:rsidP="00D07F21">
      <w:pPr>
        <w:pStyle w:val="DefaultText1"/>
        <w:numPr>
          <w:ilvl w:val="1"/>
          <w:numId w:val="16"/>
        </w:numPr>
        <w:shd w:val="clear" w:color="auto" w:fill="FFFFFF"/>
        <w:tabs>
          <w:tab w:val="clear" w:pos="0"/>
          <w:tab w:val="left" w:pos="709"/>
        </w:tabs>
        <w:overflowPunct/>
        <w:spacing w:after="0"/>
        <w:ind w:left="709" w:hanging="709"/>
        <w:textAlignment w:val="auto"/>
        <w:rPr>
          <w:b/>
        </w:rPr>
      </w:pPr>
      <w:r w:rsidRPr="00BE1EBA">
        <w:rPr>
          <w:b/>
        </w:rPr>
        <w:t>PORTÉE</w:t>
      </w:r>
    </w:p>
    <w:p w:rsidR="00D07F21" w:rsidRPr="00BE1EBA" w:rsidRDefault="00D07F21" w:rsidP="00D07F21">
      <w:pPr>
        <w:pStyle w:val="DefaultText1"/>
        <w:shd w:val="clear" w:color="auto" w:fill="FFFFFF"/>
        <w:tabs>
          <w:tab w:val="left" w:pos="709"/>
        </w:tabs>
        <w:ind w:left="709" w:hanging="709"/>
        <w:rPr>
          <w:b/>
          <w:bCs/>
          <w:sz w:val="18"/>
          <w:szCs w:val="18"/>
        </w:rPr>
      </w:pPr>
    </w:p>
    <w:p w:rsidR="00D07F21" w:rsidRPr="00BE1EBA" w:rsidRDefault="00D07F21" w:rsidP="00D07F21">
      <w:pPr>
        <w:pStyle w:val="DefaultText1"/>
        <w:numPr>
          <w:ilvl w:val="1"/>
          <w:numId w:val="16"/>
        </w:numPr>
        <w:shd w:val="clear" w:color="auto" w:fill="FFFFFF"/>
        <w:tabs>
          <w:tab w:val="clear" w:pos="0"/>
          <w:tab w:val="left" w:pos="709"/>
        </w:tabs>
        <w:overflowPunct/>
        <w:spacing w:after="0"/>
        <w:ind w:left="709" w:hanging="709"/>
        <w:textAlignment w:val="auto"/>
      </w:pPr>
      <w:r w:rsidRPr="00BE1EBA">
        <w:t>Les présentes spécifications définissent les exigences techniques qui s</w:t>
      </w:r>
      <w:r w:rsidR="00812400" w:rsidRPr="00BE1EBA">
        <w:t>’</w:t>
      </w:r>
      <w:r w:rsidRPr="00BE1EBA">
        <w:t>appliquent au mobilier des postes de travail que se procurera le gouvernement fédéral.</w:t>
      </w:r>
    </w:p>
    <w:p w:rsidR="00D07F21" w:rsidRPr="00BE1EBA" w:rsidRDefault="00D07F21" w:rsidP="00D07F21">
      <w:pPr>
        <w:pStyle w:val="ListParagraph"/>
        <w:rPr>
          <w:sz w:val="18"/>
          <w:szCs w:val="18"/>
        </w:rPr>
      </w:pPr>
    </w:p>
    <w:p w:rsidR="00D07F21" w:rsidRPr="00BE1EBA" w:rsidRDefault="00D07F21" w:rsidP="00D07F21">
      <w:pPr>
        <w:pStyle w:val="DefaultText1"/>
        <w:numPr>
          <w:ilvl w:val="1"/>
          <w:numId w:val="16"/>
        </w:numPr>
        <w:shd w:val="clear" w:color="auto" w:fill="FFFFFF"/>
        <w:tabs>
          <w:tab w:val="clear" w:pos="0"/>
          <w:tab w:val="left" w:pos="709"/>
        </w:tabs>
        <w:overflowPunct/>
        <w:spacing w:after="0"/>
        <w:ind w:left="709" w:hanging="709"/>
        <w:textAlignment w:val="auto"/>
      </w:pPr>
      <w:r w:rsidRPr="00BE1EBA">
        <w:t>Les présentes spécifications doivent être lues conjointement avec les publications et les exigences d</w:t>
      </w:r>
      <w:r w:rsidR="00812400" w:rsidRPr="00BE1EBA">
        <w:t>’</w:t>
      </w:r>
      <w:r w:rsidRPr="00BE1EBA">
        <w:t>essai de l</w:t>
      </w:r>
      <w:r w:rsidR="00812400" w:rsidRPr="00BE1EBA">
        <w:t>’</w:t>
      </w:r>
      <w:r w:rsidRPr="00BE1EBA">
        <w:t>article 2.0 de la présente annexe à l</w:t>
      </w:r>
      <w:r w:rsidR="00812400" w:rsidRPr="00BE1EBA">
        <w:t>’</w:t>
      </w:r>
      <w:r w:rsidRPr="00BE1EBA">
        <w:t>exception de l</w:t>
      </w:r>
      <w:r w:rsidR="00812400" w:rsidRPr="00BE1EBA">
        <w:t>’</w:t>
      </w:r>
      <w:r w:rsidRPr="00BE1EBA">
        <w:t>alinéa 6.5.3</w:t>
      </w:r>
      <w:r w:rsidR="002A6210" w:rsidRPr="00BE1EBA">
        <w:t xml:space="preserve"> – </w:t>
      </w:r>
      <w:r w:rsidRPr="00BE1EBA">
        <w:t>Espace utile, de la norme CAN/CGSB</w:t>
      </w:r>
      <w:r w:rsidR="003262E1" w:rsidRPr="00BE1EBA">
        <w:t>­</w:t>
      </w:r>
      <w:r w:rsidRPr="00BE1EBA">
        <w:t>44.227</w:t>
      </w:r>
      <w:r w:rsidR="003262E1" w:rsidRPr="00BE1EBA">
        <w:t>­</w:t>
      </w:r>
      <w:r w:rsidRPr="00BE1EBA">
        <w:t>2008, Mobilier et composants autostables de bureau et de la norme CAN/CGSB</w:t>
      </w:r>
      <w:r w:rsidR="003262E1" w:rsidRPr="00BE1EBA">
        <w:t>­</w:t>
      </w:r>
      <w:r w:rsidRPr="00BE1EBA">
        <w:t>44.229</w:t>
      </w:r>
      <w:r w:rsidR="003262E1" w:rsidRPr="00BE1EBA">
        <w:t>­</w:t>
      </w:r>
      <w:r w:rsidRPr="00BE1EBA">
        <w:t>2008, Systèmes de cloisons interraccordables et composants soutenus, et s</w:t>
      </w:r>
      <w:r w:rsidR="00812400" w:rsidRPr="00BE1EBA">
        <w:t>’</w:t>
      </w:r>
      <w:r w:rsidRPr="00BE1EBA">
        <w:t>y conformer.</w:t>
      </w:r>
    </w:p>
    <w:p w:rsidR="00D07F21" w:rsidRPr="00BE1EBA" w:rsidRDefault="00D07F21" w:rsidP="00D07F21">
      <w:pPr>
        <w:pStyle w:val="ListParagraph"/>
        <w:rPr>
          <w:sz w:val="18"/>
          <w:szCs w:val="18"/>
        </w:rPr>
      </w:pPr>
    </w:p>
    <w:p w:rsidR="00D07F21" w:rsidRPr="00BE1EBA" w:rsidRDefault="00D07F21" w:rsidP="00D07F21">
      <w:pPr>
        <w:pStyle w:val="DefaultText1"/>
        <w:numPr>
          <w:ilvl w:val="1"/>
          <w:numId w:val="16"/>
        </w:numPr>
        <w:shd w:val="clear" w:color="auto" w:fill="FFFFFF"/>
        <w:tabs>
          <w:tab w:val="clear" w:pos="0"/>
          <w:tab w:val="left" w:pos="709"/>
        </w:tabs>
        <w:overflowPunct/>
        <w:spacing w:after="0"/>
        <w:ind w:left="709" w:hanging="709"/>
        <w:textAlignment w:val="auto"/>
      </w:pPr>
      <w:r w:rsidRPr="00BE1EBA">
        <w:t>Les postes de travail sont divisés en cinq catégories pour tenir compte des besoins en mobilier des quatre profils de travailleurs décrits dans la section sur les locaux à bureaux à vocation générale des plus récentes Normes d</w:t>
      </w:r>
      <w:r w:rsidR="00812400" w:rsidRPr="00BE1EBA">
        <w:t>’</w:t>
      </w:r>
      <w:r w:rsidRPr="00BE1EBA">
        <w:t>aménagement</w:t>
      </w:r>
      <w:r w:rsidR="002A6210" w:rsidRPr="00BE1EBA">
        <w:t xml:space="preserve"> – </w:t>
      </w:r>
      <w:r w:rsidRPr="00BE1EBA">
        <w:t>2012 du gouvernement du Canada relatives à l</w:t>
      </w:r>
      <w:r w:rsidR="00812400" w:rsidRPr="00BE1EBA">
        <w:t>’</w:t>
      </w:r>
      <w:r w:rsidRPr="00BE1EBA">
        <w:t>initiative Milieu de travail 2.0.</w:t>
      </w:r>
    </w:p>
    <w:p w:rsidR="00D07F21" w:rsidRPr="00BE1EBA" w:rsidRDefault="00D07F21" w:rsidP="00D07F21">
      <w:pPr>
        <w:pStyle w:val="DefaultText1"/>
        <w:shd w:val="clear" w:color="auto" w:fill="FFFFFF"/>
        <w:tabs>
          <w:tab w:val="left" w:pos="709"/>
        </w:tabs>
        <w:ind w:left="709"/>
        <w:rPr>
          <w:sz w:val="18"/>
          <w:szCs w:val="18"/>
        </w:rPr>
      </w:pPr>
    </w:p>
    <w:p w:rsidR="00D07F21" w:rsidRPr="00BE1EBA" w:rsidRDefault="00D07F21" w:rsidP="00D07F21">
      <w:pPr>
        <w:pStyle w:val="DefaultText1"/>
        <w:numPr>
          <w:ilvl w:val="1"/>
          <w:numId w:val="16"/>
        </w:numPr>
        <w:shd w:val="clear" w:color="auto" w:fill="FFFFFF"/>
        <w:tabs>
          <w:tab w:val="clear" w:pos="0"/>
          <w:tab w:val="left" w:pos="709"/>
        </w:tabs>
        <w:overflowPunct/>
        <w:spacing w:after="0"/>
        <w:ind w:left="709" w:hanging="709"/>
        <w:textAlignment w:val="auto"/>
      </w:pPr>
      <w:r w:rsidRPr="00BE1EBA">
        <w:t>Tous les renseignements sur les catégories doivent être lus conjointement avec le Catalogue de produits du gouvernement du Canada que le lecteur trouvera à l</w:t>
      </w:r>
      <w:r w:rsidR="00812400" w:rsidRPr="00BE1EBA">
        <w:t>’</w:t>
      </w:r>
      <w:r w:rsidRPr="00BE1EBA">
        <w:t>annexe B.</w:t>
      </w:r>
    </w:p>
    <w:p w:rsidR="00D07F21" w:rsidRPr="00BE1EBA" w:rsidRDefault="00D07F21" w:rsidP="00D07F21">
      <w:pPr>
        <w:pStyle w:val="DefaultText1"/>
        <w:shd w:val="clear" w:color="auto" w:fill="FFFFFF"/>
        <w:tabs>
          <w:tab w:val="left" w:pos="709"/>
        </w:tabs>
        <w:ind w:left="709"/>
        <w:rPr>
          <w:sz w:val="18"/>
          <w:szCs w:val="18"/>
        </w:rPr>
      </w:pPr>
    </w:p>
    <w:p w:rsidR="00D07F21" w:rsidRPr="00BE1EBA" w:rsidRDefault="00D07F21" w:rsidP="00D07F21">
      <w:pPr>
        <w:pStyle w:val="DefaultText1"/>
        <w:numPr>
          <w:ilvl w:val="1"/>
          <w:numId w:val="16"/>
        </w:numPr>
        <w:shd w:val="clear" w:color="auto" w:fill="FFFFFF"/>
        <w:tabs>
          <w:tab w:val="clear" w:pos="0"/>
          <w:tab w:val="left" w:pos="709"/>
        </w:tabs>
        <w:overflowPunct/>
        <w:spacing w:after="0"/>
        <w:ind w:left="709" w:hanging="709"/>
        <w:textAlignment w:val="auto"/>
      </w:pPr>
      <w:r w:rsidRPr="00BE1EBA">
        <w:t>Il incombe au fournisseur de fournir toute la quincaillerie nécessaire, les garnitures, les raccords, les supports, les supports muraux, etc., pour permettre l</w:t>
      </w:r>
      <w:r w:rsidR="00812400" w:rsidRPr="00BE1EBA">
        <w:t>’</w:t>
      </w:r>
      <w:r w:rsidRPr="00BE1EBA">
        <w:t>installation du mobilier.</w:t>
      </w:r>
    </w:p>
    <w:p w:rsidR="00D07F21" w:rsidRPr="00BE1EBA" w:rsidRDefault="00D07F21" w:rsidP="007278F9">
      <w:pPr>
        <w:pStyle w:val="ModlesEn-tte3"/>
        <w:rPr>
          <w:szCs w:val="20"/>
        </w:rPr>
      </w:pPr>
      <w:bookmarkStart w:id="82" w:name="_Toc412634827"/>
      <w:r w:rsidRPr="00BE1EBA">
        <w:t>2.0</w:t>
      </w:r>
      <w:r w:rsidRPr="00BE1EBA">
        <w:tab/>
        <w:t>PUBLICATIONS ET EXIGENCES D</w:t>
      </w:r>
      <w:r w:rsidR="00812400" w:rsidRPr="00BE1EBA">
        <w:t>’</w:t>
      </w:r>
      <w:r w:rsidRPr="00BE1EBA">
        <w:t>ESSAI</w:t>
      </w:r>
      <w:bookmarkEnd w:id="82"/>
    </w:p>
    <w:p w:rsidR="00D07F21" w:rsidRPr="00BE1EBA" w:rsidRDefault="00D07F21" w:rsidP="007278F9">
      <w:pPr>
        <w:pStyle w:val="DefaultText1"/>
        <w:shd w:val="clear" w:color="auto" w:fill="FFFFFF"/>
        <w:tabs>
          <w:tab w:val="left" w:pos="567"/>
        </w:tabs>
        <w:ind w:left="567" w:hanging="567"/>
      </w:pPr>
      <w:r w:rsidRPr="00BE1EBA">
        <w:t>2.1</w:t>
      </w:r>
      <w:r w:rsidRPr="00BE1EBA">
        <w:tab/>
      </w:r>
      <w:r w:rsidRPr="00BE1EBA">
        <w:rPr>
          <w:b/>
        </w:rPr>
        <w:t>Publications</w:t>
      </w:r>
    </w:p>
    <w:p w:rsidR="00FA1802" w:rsidRPr="00BE1EBA" w:rsidRDefault="00D07F21" w:rsidP="00FA1802">
      <w:pPr>
        <w:pStyle w:val="DefaultText1"/>
        <w:shd w:val="clear" w:color="auto" w:fill="FFFFFF"/>
        <w:ind w:left="1134" w:hanging="567"/>
      </w:pPr>
      <w:r w:rsidRPr="00BE1EBA">
        <w:t xml:space="preserve">2.1.1 </w:t>
      </w:r>
      <w:r w:rsidRPr="00BE1EBA">
        <w:tab/>
      </w:r>
      <w:r w:rsidRPr="00BE1EBA">
        <w:rPr>
          <w:color w:val="000000" w:themeColor="text1"/>
        </w:rPr>
        <w:t>Office des normes générales du Canada (ONGC)</w:t>
      </w:r>
    </w:p>
    <w:p w:rsidR="00D07F21" w:rsidRPr="00BE1EBA" w:rsidRDefault="007278F9" w:rsidP="00FA1802">
      <w:pPr>
        <w:pStyle w:val="DefaultText1"/>
        <w:shd w:val="clear" w:color="auto" w:fill="FFFFFF"/>
        <w:ind w:left="1985" w:hanging="851"/>
      </w:pPr>
      <w:r w:rsidRPr="00BE1EBA">
        <w:t>2.1.1.1</w:t>
      </w:r>
      <w:r w:rsidRPr="00BE1EBA">
        <w:tab/>
        <w:t>CAN/CGSB</w:t>
      </w:r>
      <w:r w:rsidR="003262E1" w:rsidRPr="00BE1EBA">
        <w:t>­</w:t>
      </w:r>
      <w:r w:rsidRPr="00BE1EBA">
        <w:t>44.227</w:t>
      </w:r>
      <w:r w:rsidR="003262E1" w:rsidRPr="00BE1EBA">
        <w:t>­</w:t>
      </w:r>
      <w:r w:rsidRPr="00BE1EBA">
        <w:t>2008, Mobilier et c</w:t>
      </w:r>
      <w:r w:rsidR="00643669">
        <w:t xml:space="preserve">omposants </w:t>
      </w:r>
      <w:proofErr w:type="spellStart"/>
      <w:r w:rsidR="00643669">
        <w:t>autostables</w:t>
      </w:r>
      <w:proofErr w:type="spellEnd"/>
      <w:r w:rsidR="00643669">
        <w:t xml:space="preserve"> de bureau.</w:t>
      </w:r>
    </w:p>
    <w:p w:rsidR="00D07F21" w:rsidRPr="00BE1EBA" w:rsidRDefault="00D07F21" w:rsidP="00FA1802">
      <w:pPr>
        <w:pStyle w:val="DefaultText1"/>
        <w:shd w:val="clear" w:color="auto" w:fill="FFFFFF"/>
        <w:tabs>
          <w:tab w:val="clear" w:pos="0"/>
          <w:tab w:val="left" w:pos="1985"/>
        </w:tabs>
        <w:ind w:left="1985" w:hanging="851"/>
      </w:pPr>
      <w:r w:rsidRPr="00BE1EBA">
        <w:t xml:space="preserve">2.1.1.2 </w:t>
      </w:r>
      <w:r w:rsidRPr="00BE1EBA">
        <w:tab/>
        <w:t>CAN/CGSB</w:t>
      </w:r>
      <w:r w:rsidR="003262E1" w:rsidRPr="00BE1EBA">
        <w:t>­</w:t>
      </w:r>
      <w:r w:rsidRPr="00BE1EBA">
        <w:t>44.229</w:t>
      </w:r>
      <w:r w:rsidR="003262E1" w:rsidRPr="00BE1EBA">
        <w:t>­</w:t>
      </w:r>
      <w:r w:rsidRPr="00BE1EBA">
        <w:t xml:space="preserve">2008, Systèmes de cloisons </w:t>
      </w:r>
      <w:proofErr w:type="spellStart"/>
      <w:r w:rsidRPr="00BE1EBA">
        <w:t>interracc</w:t>
      </w:r>
      <w:r w:rsidR="00643669">
        <w:t>ordables</w:t>
      </w:r>
      <w:proofErr w:type="spellEnd"/>
      <w:r w:rsidR="00643669">
        <w:t xml:space="preserve"> et composants soutenus.</w:t>
      </w:r>
    </w:p>
    <w:p w:rsidR="00D07F21" w:rsidRPr="00BE1EBA" w:rsidRDefault="00D07F21" w:rsidP="00FA1802">
      <w:pPr>
        <w:pStyle w:val="DefaultText1"/>
        <w:shd w:val="clear" w:color="auto" w:fill="FFFFFF"/>
        <w:tabs>
          <w:tab w:val="clear" w:pos="0"/>
          <w:tab w:val="left" w:pos="1985"/>
        </w:tabs>
        <w:ind w:left="1985" w:hanging="851"/>
      </w:pPr>
      <w:r w:rsidRPr="00BE1EBA">
        <w:t xml:space="preserve">2.1.1.3 </w:t>
      </w:r>
      <w:r w:rsidRPr="00BE1EBA">
        <w:tab/>
        <w:t>CAN/CGSB</w:t>
      </w:r>
      <w:r w:rsidR="003262E1" w:rsidRPr="00BE1EBA">
        <w:t>­</w:t>
      </w:r>
      <w:r w:rsidRPr="00BE1EBA">
        <w:t>12.1</w:t>
      </w:r>
      <w:r w:rsidR="003262E1" w:rsidRPr="00BE1EBA">
        <w:t>­</w:t>
      </w:r>
      <w:r w:rsidRPr="00BE1EBA">
        <w:t>M90 Verre de sécurité trempé ou feuilleté</w:t>
      </w:r>
    </w:p>
    <w:p w:rsidR="00D07F21" w:rsidRPr="00BE1EBA" w:rsidRDefault="00D07F21" w:rsidP="007278F9">
      <w:pPr>
        <w:pStyle w:val="DefaultText1"/>
        <w:shd w:val="clear" w:color="auto" w:fill="FFFFFF"/>
        <w:tabs>
          <w:tab w:val="left" w:pos="1134"/>
        </w:tabs>
        <w:ind w:left="1134" w:hanging="567"/>
        <w:rPr>
          <w:lang w:val="en-CA"/>
        </w:rPr>
      </w:pPr>
      <w:r w:rsidRPr="00BE1EBA">
        <w:rPr>
          <w:lang w:val="en-CA"/>
        </w:rPr>
        <w:t>2.1.2</w:t>
      </w:r>
      <w:r w:rsidRPr="00BE1EBA">
        <w:rPr>
          <w:lang w:val="en-CA"/>
        </w:rPr>
        <w:tab/>
        <w:t>American National Standards Institute : Business Institutional Furniture Manufactures Association</w:t>
      </w:r>
    </w:p>
    <w:p w:rsidR="00D07F21" w:rsidRPr="00BE1EBA" w:rsidRDefault="00D07F21" w:rsidP="00FA1802">
      <w:pPr>
        <w:pStyle w:val="DefaultText1"/>
        <w:shd w:val="clear" w:color="auto" w:fill="FFFFFF"/>
        <w:tabs>
          <w:tab w:val="clear" w:pos="0"/>
          <w:tab w:val="left" w:pos="1985"/>
        </w:tabs>
        <w:ind w:left="1701" w:hanging="567"/>
        <w:rPr>
          <w:lang w:val="en-CA"/>
        </w:rPr>
      </w:pPr>
      <w:r w:rsidRPr="00BE1EBA">
        <w:rPr>
          <w:lang w:val="en-CA"/>
        </w:rPr>
        <w:t>2.1.2.1</w:t>
      </w:r>
      <w:r w:rsidRPr="00BE1EBA">
        <w:rPr>
          <w:lang w:val="en-CA"/>
        </w:rPr>
        <w:tab/>
        <w:t>ANSI/BIFMA X5.6 – 2010 Panel Systems</w:t>
      </w:r>
    </w:p>
    <w:p w:rsidR="00D07F21" w:rsidRPr="00BE1EBA" w:rsidRDefault="00D07F21" w:rsidP="00FA1802">
      <w:pPr>
        <w:pStyle w:val="DefaultText1"/>
        <w:shd w:val="clear" w:color="auto" w:fill="FFFFFF"/>
        <w:tabs>
          <w:tab w:val="clear" w:pos="0"/>
          <w:tab w:val="left" w:pos="1985"/>
        </w:tabs>
        <w:ind w:left="1701" w:hanging="567"/>
        <w:rPr>
          <w:lang w:val="en-CA"/>
        </w:rPr>
      </w:pPr>
      <w:r w:rsidRPr="00BE1EBA">
        <w:rPr>
          <w:lang w:val="en-CA"/>
        </w:rPr>
        <w:t>2.1.2.2</w:t>
      </w:r>
      <w:r w:rsidRPr="00BE1EBA">
        <w:rPr>
          <w:lang w:val="en-CA"/>
        </w:rPr>
        <w:tab/>
        <w:t xml:space="preserve">ANSI/BIFMA X5.9 – 2012 Storage </w:t>
      </w:r>
    </w:p>
    <w:p w:rsidR="00D07F21" w:rsidRPr="00BE1EBA" w:rsidRDefault="00D07F21" w:rsidP="00FA1802">
      <w:pPr>
        <w:pStyle w:val="DefaultText1"/>
        <w:shd w:val="clear" w:color="auto" w:fill="FFFFFF"/>
        <w:tabs>
          <w:tab w:val="clear" w:pos="0"/>
          <w:tab w:val="left" w:pos="1985"/>
        </w:tabs>
        <w:ind w:left="1701" w:hanging="567"/>
        <w:rPr>
          <w:lang w:val="en-CA"/>
        </w:rPr>
      </w:pPr>
      <w:r w:rsidRPr="00BE1EBA">
        <w:rPr>
          <w:lang w:val="en-CA"/>
        </w:rPr>
        <w:t>2.1.2.3</w:t>
      </w:r>
      <w:r w:rsidRPr="00BE1EBA">
        <w:rPr>
          <w:lang w:val="en-CA"/>
        </w:rPr>
        <w:tab/>
        <w:t xml:space="preserve">ANSI/BIFMA X5.5 – 2014 Desk/Table Products </w:t>
      </w:r>
    </w:p>
    <w:p w:rsidR="00D07F21" w:rsidRPr="00BE1EBA" w:rsidRDefault="00D07F21" w:rsidP="00FA1802">
      <w:pPr>
        <w:pStyle w:val="DefaultText1"/>
        <w:shd w:val="clear" w:color="auto" w:fill="FFFFFF"/>
        <w:tabs>
          <w:tab w:val="clear" w:pos="0"/>
          <w:tab w:val="left" w:pos="1985"/>
        </w:tabs>
        <w:ind w:left="1701" w:hanging="567"/>
        <w:rPr>
          <w:lang w:val="en-CA"/>
        </w:rPr>
      </w:pPr>
      <w:r w:rsidRPr="00BE1EBA">
        <w:rPr>
          <w:lang w:val="en-CA"/>
        </w:rPr>
        <w:t>2.1.2.4</w:t>
      </w:r>
      <w:r w:rsidRPr="00BE1EBA">
        <w:rPr>
          <w:lang w:val="en-CA"/>
        </w:rPr>
        <w:tab/>
        <w:t>ANSI/BIFMA X5.3 – 2007 (R2012) Vertical Files</w:t>
      </w:r>
    </w:p>
    <w:p w:rsidR="00D07F21" w:rsidRPr="00BE1EBA" w:rsidRDefault="00D07F21" w:rsidP="00D07F21">
      <w:pPr>
        <w:pStyle w:val="Style1"/>
        <w:tabs>
          <w:tab w:val="left" w:pos="709"/>
          <w:tab w:val="left" w:pos="1418"/>
        </w:tabs>
        <w:ind w:left="1418" w:hanging="1418"/>
        <w:contextualSpacing/>
        <w:rPr>
          <w:b/>
          <w:lang w:val="en-CA"/>
        </w:rPr>
      </w:pPr>
      <w:r w:rsidRPr="00BE1EBA">
        <w:rPr>
          <w:lang w:val="en-CA"/>
        </w:rPr>
        <w:tab/>
        <w:t>2.1.3</w:t>
      </w:r>
      <w:r w:rsidRPr="00BE1EBA">
        <w:rPr>
          <w:lang w:val="en-CA"/>
        </w:rPr>
        <w:tab/>
        <w:t>American National Standards Institute/ National Particleboard Association (NPA)</w:t>
      </w:r>
    </w:p>
    <w:p w:rsidR="00D07F21" w:rsidRPr="00BE1EBA" w:rsidRDefault="00D07F21" w:rsidP="00FA1802">
      <w:pPr>
        <w:pStyle w:val="Style1"/>
        <w:tabs>
          <w:tab w:val="clear" w:pos="567"/>
          <w:tab w:val="left" w:pos="1985"/>
        </w:tabs>
        <w:ind w:left="1701"/>
        <w:contextualSpacing/>
        <w:rPr>
          <w:b/>
          <w:lang w:val="en-CA"/>
        </w:rPr>
      </w:pPr>
      <w:r w:rsidRPr="00BE1EBA">
        <w:rPr>
          <w:lang w:val="en-CA"/>
        </w:rPr>
        <w:t>2.1.3.1</w:t>
      </w:r>
      <w:r w:rsidRPr="00BE1EBA">
        <w:rPr>
          <w:lang w:val="en-CA"/>
        </w:rPr>
        <w:tab/>
        <w:t>ANSI A 208.1</w:t>
      </w:r>
      <w:r w:rsidR="003262E1" w:rsidRPr="00BE1EBA">
        <w:rPr>
          <w:lang w:val="en-CA"/>
        </w:rPr>
        <w:t>­</w:t>
      </w:r>
      <w:r w:rsidRPr="00BE1EBA">
        <w:rPr>
          <w:lang w:val="en-CA"/>
        </w:rPr>
        <w:t xml:space="preserve"> 2009 Particleboard</w:t>
      </w:r>
    </w:p>
    <w:p w:rsidR="00D07F21" w:rsidRPr="00BE1EBA" w:rsidRDefault="00D07F21" w:rsidP="00FA1802">
      <w:pPr>
        <w:pStyle w:val="Style1"/>
        <w:tabs>
          <w:tab w:val="clear" w:pos="567"/>
          <w:tab w:val="left" w:pos="1985"/>
        </w:tabs>
        <w:ind w:left="1701"/>
        <w:contextualSpacing/>
        <w:rPr>
          <w:b/>
          <w:lang w:val="en-CA"/>
        </w:rPr>
      </w:pPr>
      <w:r w:rsidRPr="00BE1EBA">
        <w:rPr>
          <w:lang w:val="en-CA"/>
        </w:rPr>
        <w:t>2.1.3.2</w:t>
      </w:r>
      <w:r w:rsidRPr="00BE1EBA">
        <w:rPr>
          <w:lang w:val="en-CA"/>
        </w:rPr>
        <w:tab/>
        <w:t>ANSI/HPVA HP</w:t>
      </w:r>
      <w:r w:rsidR="003262E1" w:rsidRPr="00BE1EBA">
        <w:rPr>
          <w:lang w:val="en-CA"/>
        </w:rPr>
        <w:t>­</w:t>
      </w:r>
      <w:r w:rsidRPr="00BE1EBA">
        <w:rPr>
          <w:lang w:val="en-CA"/>
        </w:rPr>
        <w:t>1</w:t>
      </w:r>
      <w:r w:rsidR="003262E1" w:rsidRPr="00BE1EBA">
        <w:rPr>
          <w:lang w:val="en-CA"/>
        </w:rPr>
        <w:t>­</w:t>
      </w:r>
      <w:r w:rsidRPr="00BE1EBA">
        <w:rPr>
          <w:lang w:val="en-CA"/>
        </w:rPr>
        <w:t xml:space="preserve"> 2009 Hardwood lumber</w:t>
      </w:r>
    </w:p>
    <w:p w:rsidR="00D07F21" w:rsidRPr="00BE1EBA" w:rsidRDefault="00D07F21" w:rsidP="00D07F21">
      <w:pPr>
        <w:pStyle w:val="Style1"/>
        <w:tabs>
          <w:tab w:val="left" w:pos="709"/>
          <w:tab w:val="left" w:pos="1418"/>
        </w:tabs>
        <w:ind w:left="1418" w:hanging="1418"/>
        <w:contextualSpacing/>
        <w:rPr>
          <w:b/>
          <w:sz w:val="18"/>
          <w:szCs w:val="18"/>
          <w:lang w:val="en-CA"/>
        </w:rPr>
      </w:pPr>
      <w:r w:rsidRPr="00BE1EBA">
        <w:rPr>
          <w:lang w:val="en-CA"/>
        </w:rPr>
        <w:tab/>
      </w:r>
    </w:p>
    <w:p w:rsidR="00D07F21" w:rsidRPr="00BE1EBA" w:rsidRDefault="00D07F21" w:rsidP="00DF07A4">
      <w:pPr>
        <w:pStyle w:val="Style1"/>
        <w:tabs>
          <w:tab w:val="left" w:pos="1134"/>
        </w:tabs>
        <w:ind w:left="1134"/>
        <w:contextualSpacing/>
        <w:rPr>
          <w:b/>
          <w:lang w:val="en-CA"/>
        </w:rPr>
      </w:pPr>
      <w:r w:rsidRPr="00BE1EBA">
        <w:rPr>
          <w:lang w:val="en-CA"/>
        </w:rPr>
        <w:t>2.1.4</w:t>
      </w:r>
      <w:r w:rsidRPr="00BE1EBA">
        <w:rPr>
          <w:lang w:val="en-CA"/>
        </w:rPr>
        <w:tab/>
        <w:t>Underwriter Laboratory Inc.</w:t>
      </w:r>
    </w:p>
    <w:p w:rsidR="00DF07A4" w:rsidRPr="00BE1EBA" w:rsidRDefault="00DF07A4" w:rsidP="00DF07A4">
      <w:pPr>
        <w:pStyle w:val="Style1"/>
        <w:tabs>
          <w:tab w:val="left" w:pos="1701"/>
        </w:tabs>
        <w:ind w:left="1701"/>
        <w:contextualSpacing/>
        <w:rPr>
          <w:sz w:val="18"/>
          <w:szCs w:val="18"/>
          <w:lang w:val="en-CA"/>
        </w:rPr>
      </w:pPr>
    </w:p>
    <w:p w:rsidR="00D07F21" w:rsidRPr="00BE1EBA" w:rsidRDefault="00D07F21" w:rsidP="00E42C32">
      <w:pPr>
        <w:pStyle w:val="Style1"/>
        <w:tabs>
          <w:tab w:val="clear" w:pos="567"/>
          <w:tab w:val="left" w:pos="1701"/>
        </w:tabs>
        <w:ind w:left="1701"/>
        <w:contextualSpacing/>
        <w:rPr>
          <w:b/>
          <w:lang w:val="en-CA"/>
        </w:rPr>
      </w:pPr>
      <w:r w:rsidRPr="00BE1EBA">
        <w:rPr>
          <w:lang w:val="en-CA"/>
        </w:rPr>
        <w:t>2.1.4.1 UL 1286</w:t>
      </w:r>
      <w:r w:rsidR="003262E1" w:rsidRPr="00BE1EBA">
        <w:rPr>
          <w:lang w:val="en-CA"/>
        </w:rPr>
        <w:t>­</w:t>
      </w:r>
      <w:r w:rsidRPr="00BE1EBA">
        <w:rPr>
          <w:lang w:val="en-CA"/>
        </w:rPr>
        <w:t xml:space="preserve">2011, Section 35 Standards for Office Furnishings. </w:t>
      </w:r>
    </w:p>
    <w:p w:rsidR="00D07F21" w:rsidRPr="00BE1EBA" w:rsidRDefault="00D07F21" w:rsidP="00DF07A4">
      <w:pPr>
        <w:pStyle w:val="Style1"/>
        <w:tabs>
          <w:tab w:val="left" w:pos="709"/>
          <w:tab w:val="left" w:pos="1134"/>
        </w:tabs>
        <w:ind w:left="1134"/>
        <w:contextualSpacing/>
        <w:rPr>
          <w:b/>
          <w:sz w:val="18"/>
          <w:szCs w:val="18"/>
          <w:lang w:val="en-CA"/>
        </w:rPr>
      </w:pPr>
    </w:p>
    <w:p w:rsidR="00D07F21" w:rsidRPr="00BE1EBA" w:rsidRDefault="00D07F21" w:rsidP="00DF07A4">
      <w:pPr>
        <w:pStyle w:val="Style1"/>
        <w:tabs>
          <w:tab w:val="left" w:pos="709"/>
          <w:tab w:val="left" w:pos="1134"/>
        </w:tabs>
        <w:ind w:left="1134"/>
        <w:contextualSpacing/>
        <w:rPr>
          <w:b/>
          <w:lang w:val="en-CA"/>
        </w:rPr>
      </w:pPr>
      <w:r w:rsidRPr="00BE1EBA">
        <w:rPr>
          <w:lang w:val="en-CA"/>
        </w:rPr>
        <w:t>2.1.5</w:t>
      </w:r>
      <w:r w:rsidRPr="00BE1EBA">
        <w:rPr>
          <w:lang w:val="en-CA"/>
        </w:rPr>
        <w:tab/>
        <w:t>Architectural Woodwork Manufacturers Association of Canada (AWMAC).</w:t>
      </w:r>
    </w:p>
    <w:p w:rsidR="00D07F21" w:rsidRPr="00BE1EBA" w:rsidRDefault="00D07F21" w:rsidP="00DF07A4">
      <w:pPr>
        <w:pStyle w:val="ModlesEn-tte3"/>
        <w:rPr>
          <w:szCs w:val="20"/>
        </w:rPr>
      </w:pPr>
      <w:bookmarkStart w:id="83" w:name="_Toc412634828"/>
      <w:r w:rsidRPr="00BE1EBA">
        <w:lastRenderedPageBreak/>
        <w:t>2.2</w:t>
      </w:r>
      <w:r w:rsidRPr="00BE1EBA">
        <w:tab/>
        <w:t>Exigences d</w:t>
      </w:r>
      <w:r w:rsidR="00812400" w:rsidRPr="00BE1EBA">
        <w:t>’</w:t>
      </w:r>
      <w:r w:rsidRPr="00BE1EBA">
        <w:t>essai</w:t>
      </w:r>
      <w:bookmarkEnd w:id="83"/>
      <w:r w:rsidRPr="00BE1EBA">
        <w:t xml:space="preserve"> </w:t>
      </w:r>
    </w:p>
    <w:p w:rsidR="00D07F21" w:rsidRPr="00BE1EBA" w:rsidRDefault="00D07F21" w:rsidP="00E42C32">
      <w:pPr>
        <w:spacing w:after="200" w:line="276" w:lineRule="auto"/>
        <w:ind w:left="567" w:hanging="567"/>
        <w:rPr>
          <w:szCs w:val="20"/>
        </w:rPr>
      </w:pPr>
      <w:r w:rsidRPr="00BE1EBA">
        <w:tab/>
        <w:t>Les produits offerts doivent satisfaire à toutes les exigences d</w:t>
      </w:r>
      <w:r w:rsidR="00812400" w:rsidRPr="00BE1EBA">
        <w:t>’</w:t>
      </w:r>
      <w:r w:rsidRPr="00BE1EBA">
        <w:t>essai du présent article.</w:t>
      </w:r>
    </w:p>
    <w:p w:rsidR="00D07F21" w:rsidRPr="00BE1EBA" w:rsidRDefault="00D07F21" w:rsidP="00E42C32">
      <w:pPr>
        <w:tabs>
          <w:tab w:val="left" w:pos="567"/>
        </w:tabs>
        <w:spacing w:after="200" w:line="276" w:lineRule="auto"/>
        <w:ind w:left="1418" w:hanging="851"/>
        <w:rPr>
          <w:szCs w:val="20"/>
        </w:rPr>
      </w:pPr>
      <w:r w:rsidRPr="00BE1EBA">
        <w:t>2.2.1</w:t>
      </w:r>
      <w:r w:rsidRPr="00BE1EBA">
        <w:tab/>
        <w:t>Les cloisons interraccordables et les composants soutenus doivent tous être soumis aux essais et satisfaire aux critères d</w:t>
      </w:r>
      <w:r w:rsidR="00812400" w:rsidRPr="00BE1EBA">
        <w:t>’</w:t>
      </w:r>
      <w:r w:rsidRPr="00BE1EBA">
        <w:t xml:space="preserve">acceptation décrits dans la norme ANSI/BIFMA X5.6 </w:t>
      </w:r>
      <w:r w:rsidR="00D542F8" w:rsidRPr="00BE1EBA">
        <w:t>–</w:t>
      </w:r>
      <w:r w:rsidRPr="00BE1EBA">
        <w:t xml:space="preserve"> 2010, Panel Systems, et dans la norme CAN/CGSB.44.229 ­ 2008, Systèmes de cloisons interraccordables et composants soutenus.</w:t>
      </w:r>
    </w:p>
    <w:p w:rsidR="00D07F21" w:rsidRPr="00BE1EBA" w:rsidRDefault="00D07F21" w:rsidP="00E42C32">
      <w:pPr>
        <w:spacing w:after="200" w:line="276" w:lineRule="auto"/>
        <w:ind w:left="1418" w:hanging="851"/>
        <w:rPr>
          <w:szCs w:val="20"/>
        </w:rPr>
      </w:pPr>
      <w:r w:rsidRPr="00BE1EBA">
        <w:t>2.2.2</w:t>
      </w:r>
      <w:r w:rsidRPr="00BE1EBA">
        <w:tab/>
        <w:t>L</w:t>
      </w:r>
      <w:r w:rsidR="00812400" w:rsidRPr="00BE1EBA">
        <w:t>’</w:t>
      </w:r>
      <w:r w:rsidRPr="00BE1EBA">
        <w:t>installation électrique au complet et tous les composants doivent être conformes à la norme CSA C22.2 n° 203</w:t>
      </w:r>
      <w:r w:rsidR="003262E1" w:rsidRPr="00BE1EBA">
        <w:t>­</w:t>
      </w:r>
      <w:r w:rsidRPr="00BE1EBA">
        <w:t xml:space="preserve">M91 (R2010), Câblage modulaire pour ameublement de bureau. </w:t>
      </w:r>
    </w:p>
    <w:p w:rsidR="00D07F21" w:rsidRPr="00BE1EBA" w:rsidRDefault="00D07F21" w:rsidP="00E42C32">
      <w:pPr>
        <w:tabs>
          <w:tab w:val="left" w:pos="1418"/>
        </w:tabs>
        <w:spacing w:after="200" w:line="276" w:lineRule="auto"/>
        <w:ind w:left="1418" w:hanging="851"/>
        <w:rPr>
          <w:szCs w:val="20"/>
        </w:rPr>
      </w:pPr>
      <w:r w:rsidRPr="00BE1EBA">
        <w:t>2.2.3</w:t>
      </w:r>
      <w:r w:rsidRPr="00BE1EBA">
        <w:tab/>
        <w:t>Tous les cadres de cloison avec panneaux vitrés doivent respecter les exigences de la norme UL 1286</w:t>
      </w:r>
      <w:r w:rsidR="003262E1" w:rsidRPr="00BE1EBA">
        <w:t>­</w:t>
      </w:r>
      <w:r w:rsidRPr="00BE1EBA">
        <w:t xml:space="preserve">2011, article 35. </w:t>
      </w:r>
    </w:p>
    <w:p w:rsidR="00D07F21" w:rsidRPr="00BE1EBA" w:rsidRDefault="00D07F21" w:rsidP="00E42C32">
      <w:pPr>
        <w:spacing w:after="200" w:line="276" w:lineRule="auto"/>
        <w:ind w:left="1418" w:hanging="851"/>
        <w:rPr>
          <w:szCs w:val="20"/>
        </w:rPr>
      </w:pPr>
      <w:r w:rsidRPr="00BE1EBA">
        <w:t>2.2.4</w:t>
      </w:r>
      <w:r w:rsidRPr="00BE1EBA">
        <w:tab/>
        <w:t>Tous les produits de bureau autostables et les composants soutenus doivent être soumis aux essais et satisfaire aux critères d</w:t>
      </w:r>
      <w:r w:rsidR="00812400" w:rsidRPr="00BE1EBA">
        <w:t>’</w:t>
      </w:r>
      <w:r w:rsidRPr="00BE1EBA">
        <w:t>acceptation décrits dans la norme ANSI/BIFMA X5.5 – 2014, Desk/Table Products, et dans la norme CAN/CGSB.44.227 ­ 2008, Mobilier et composants autostables de bureau</w:t>
      </w:r>
      <w:r w:rsidR="00EF7715" w:rsidRPr="00BE1EBA">
        <w:t xml:space="preserve">. </w:t>
      </w:r>
    </w:p>
    <w:p w:rsidR="00D07F21" w:rsidRPr="00BE1EBA" w:rsidRDefault="00D07F21" w:rsidP="00E42C32">
      <w:pPr>
        <w:spacing w:after="200" w:line="276" w:lineRule="auto"/>
        <w:ind w:left="1418" w:hanging="851"/>
        <w:rPr>
          <w:szCs w:val="20"/>
        </w:rPr>
      </w:pPr>
      <w:r w:rsidRPr="00BE1EBA">
        <w:t>2.2.5</w:t>
      </w:r>
      <w:r w:rsidRPr="00BE1EBA">
        <w:tab/>
        <w:t>Tous les éléments de rangement doivent être soumis aux essais et satisfaire aux critères d</w:t>
      </w:r>
      <w:r w:rsidR="00812400" w:rsidRPr="00BE1EBA">
        <w:t>’</w:t>
      </w:r>
      <w:r w:rsidRPr="00BE1EBA">
        <w:t>acceptation décrits dans la norme ANSI/BIFMA X5.9 ­ 2012, Storage</w:t>
      </w:r>
      <w:r w:rsidR="00EF7715" w:rsidRPr="00BE1EBA">
        <w:t xml:space="preserve">. </w:t>
      </w:r>
    </w:p>
    <w:p w:rsidR="00D07F21" w:rsidRPr="00BE1EBA" w:rsidRDefault="00D07F21" w:rsidP="00E42C32">
      <w:pPr>
        <w:spacing w:after="200" w:line="276" w:lineRule="auto"/>
        <w:ind w:left="1418" w:hanging="851"/>
        <w:rPr>
          <w:szCs w:val="20"/>
        </w:rPr>
      </w:pPr>
      <w:r w:rsidRPr="00BE1EBA">
        <w:t>2.2.6</w:t>
      </w:r>
      <w:r w:rsidRPr="00BE1EBA">
        <w:tab/>
        <w:t>Tous les classeurs verticaux doivent être soumis aux essais et satisfaire aux critères d</w:t>
      </w:r>
      <w:r w:rsidR="00812400" w:rsidRPr="00BE1EBA">
        <w:t>’</w:t>
      </w:r>
      <w:r w:rsidRPr="00BE1EBA">
        <w:t>acceptation décrits dans la norme ANSI/BIFMA X5.3 ­ 2007 (R2012), Vertical Files.</w:t>
      </w:r>
    </w:p>
    <w:p w:rsidR="00D07F21" w:rsidRPr="00BE1EBA" w:rsidRDefault="00D07F21" w:rsidP="00E42C32">
      <w:pPr>
        <w:tabs>
          <w:tab w:val="left" w:pos="1418"/>
        </w:tabs>
        <w:spacing w:after="200" w:line="276" w:lineRule="auto"/>
        <w:ind w:left="1418" w:hanging="851"/>
        <w:rPr>
          <w:szCs w:val="20"/>
        </w:rPr>
      </w:pPr>
      <w:r w:rsidRPr="00BE1EBA">
        <w:t>2.2.7</w:t>
      </w:r>
      <w:r w:rsidRPr="00BE1EBA">
        <w:tab/>
        <w:t>L</w:t>
      </w:r>
      <w:r w:rsidR="00812400" w:rsidRPr="00BE1EBA">
        <w:t>’</w:t>
      </w:r>
      <w:r w:rsidRPr="00BE1EBA">
        <w:t>équipement auxiliaire comme les supports pour clavier et souris, les supports pour ordinateur et les bras de moniteur doivent être soumis aux essais et satisfaire aux exigences de la norme ANSI/BIFMA X5.5</w:t>
      </w:r>
      <w:r w:rsidR="003262E1" w:rsidRPr="00BE1EBA">
        <w:t>­</w:t>
      </w:r>
      <w:r w:rsidRPr="00BE1EBA">
        <w:t xml:space="preserve"> 2014 et nous accepterons aussi la conformité à la norme X5.6</w:t>
      </w:r>
      <w:r w:rsidR="003262E1" w:rsidRPr="00BE1EBA">
        <w:t>­</w:t>
      </w:r>
      <w:r w:rsidRPr="00BE1EBA">
        <w:t xml:space="preserve"> 2010, méthode d</w:t>
      </w:r>
      <w:r w:rsidR="00812400" w:rsidRPr="00BE1EBA">
        <w:t>’</w:t>
      </w:r>
      <w:r w:rsidRPr="00BE1EBA">
        <w:t xml:space="preserve">essai 10.8, Keyboard Support and Input Device Support Adjustment. </w:t>
      </w:r>
    </w:p>
    <w:p w:rsidR="00D07F21" w:rsidRPr="00BE1EBA" w:rsidRDefault="00D07F21" w:rsidP="00E42C32">
      <w:pPr>
        <w:spacing w:after="200" w:line="276" w:lineRule="auto"/>
        <w:ind w:left="1418" w:hanging="851"/>
        <w:rPr>
          <w:szCs w:val="20"/>
        </w:rPr>
      </w:pPr>
      <w:r w:rsidRPr="00BE1EBA">
        <w:t>2.2.8</w:t>
      </w:r>
      <w:r w:rsidRPr="00BE1EBA">
        <w:tab/>
        <w:t>Les supports à clavier doivent être soumis aux essais et satisfaire aux exigences de la norme CAN/CGSB</w:t>
      </w:r>
      <w:r w:rsidR="003262E1" w:rsidRPr="00BE1EBA">
        <w:t>­</w:t>
      </w:r>
      <w:r w:rsidRPr="00BE1EBA">
        <w:t xml:space="preserve">44.229 ­ 2008. </w:t>
      </w:r>
    </w:p>
    <w:p w:rsidR="00D07F21" w:rsidRPr="00BE1EBA" w:rsidRDefault="00D07F21" w:rsidP="00E42C32">
      <w:pPr>
        <w:spacing w:after="200" w:line="276" w:lineRule="auto"/>
        <w:ind w:left="1418" w:hanging="851"/>
        <w:rPr>
          <w:szCs w:val="20"/>
        </w:rPr>
      </w:pPr>
      <w:r w:rsidRPr="00BE1EBA">
        <w:t>2.2.9</w:t>
      </w:r>
      <w:r w:rsidRPr="00BE1EBA">
        <w:tab/>
        <w:t>Les exigences de la catégorie 1, article 7.13, Benching, doivent avoir été mises à l</w:t>
      </w:r>
      <w:r w:rsidR="00812400" w:rsidRPr="00BE1EBA">
        <w:t>’</w:t>
      </w:r>
      <w:r w:rsidRPr="00BE1EBA">
        <w:t>essai conformément aux normes citées dans la norme ANSI/BIFMA X5.5 ­ 2014, Desk/Table Products et dans la norme CAN/CGSB</w:t>
      </w:r>
      <w:r w:rsidR="003262E1" w:rsidRPr="00BE1EBA">
        <w:t>­</w:t>
      </w:r>
      <w:r w:rsidRPr="00BE1EBA">
        <w:t>44.227 ­ 2008, Mobilier et composants autostables de bureau</w:t>
      </w:r>
      <w:r w:rsidR="00EF7715" w:rsidRPr="00BE1EBA">
        <w:t xml:space="preserve">. </w:t>
      </w:r>
    </w:p>
    <w:p w:rsidR="00D07F21" w:rsidRPr="00BE1EBA" w:rsidRDefault="00D07F21" w:rsidP="00E42C32">
      <w:pPr>
        <w:spacing w:after="200" w:line="276" w:lineRule="auto"/>
        <w:ind w:left="1418" w:hanging="851"/>
        <w:rPr>
          <w:szCs w:val="20"/>
        </w:rPr>
      </w:pPr>
      <w:r w:rsidRPr="00BE1EBA">
        <w:t>2.2.10.</w:t>
      </w:r>
      <w:r w:rsidRPr="00BE1EBA">
        <w:tab/>
        <w:t>Les rapports d</w:t>
      </w:r>
      <w:r w:rsidR="00812400" w:rsidRPr="00BE1EBA">
        <w:t>’</w:t>
      </w:r>
      <w:r w:rsidRPr="00BE1EBA">
        <w:t xml:space="preserve">essai ne doivent pas dater de plus de cinq ans après la date des essais. </w:t>
      </w:r>
    </w:p>
    <w:p w:rsidR="00D07F21" w:rsidRPr="00BE1EBA" w:rsidRDefault="00D07F21" w:rsidP="00E42C32">
      <w:pPr>
        <w:spacing w:after="200" w:line="276" w:lineRule="auto"/>
        <w:ind w:left="1418" w:hanging="851"/>
        <w:rPr>
          <w:szCs w:val="20"/>
        </w:rPr>
      </w:pPr>
      <w:r w:rsidRPr="00BE1EBA">
        <w:t>2.2.11</w:t>
      </w:r>
      <w:r w:rsidRPr="00BE1EBA">
        <w:tab/>
        <w:t>Norme(s) d</w:t>
      </w:r>
      <w:r w:rsidR="00812400" w:rsidRPr="00BE1EBA">
        <w:t>’</w:t>
      </w:r>
      <w:r w:rsidRPr="00BE1EBA">
        <w:t>essai révisée(s) : Si des modifications ont été apportées à la norme d</w:t>
      </w:r>
      <w:r w:rsidR="00812400" w:rsidRPr="00BE1EBA">
        <w:t>’</w:t>
      </w:r>
      <w:r w:rsidRPr="00BE1EBA">
        <w:t>essai, de nouveaux essais doivent être faits dans les neuf (9) mois suivant la date de publication de la norme d</w:t>
      </w:r>
      <w:r w:rsidR="00812400" w:rsidRPr="00BE1EBA">
        <w:t>’</w:t>
      </w:r>
      <w:r w:rsidRPr="00BE1EBA">
        <w:t>essai révisée peu importe le moment où ont été réalisés les essais précédents. Seuls les produits modifiés dans la nouvelle version de la norme doivent être soumis à de nouveaux essais. En conséquence, si les exigences d</w:t>
      </w:r>
      <w:r w:rsidR="00812400" w:rsidRPr="00BE1EBA">
        <w:t>’</w:t>
      </w:r>
      <w:r w:rsidRPr="00BE1EBA">
        <w:t>essai n</w:t>
      </w:r>
      <w:r w:rsidR="00812400" w:rsidRPr="00BE1EBA">
        <w:t>’</w:t>
      </w:r>
      <w:r w:rsidRPr="00BE1EBA">
        <w:t>ont pas été modifiées, il n</w:t>
      </w:r>
      <w:r w:rsidR="00812400" w:rsidRPr="00BE1EBA">
        <w:t>’</w:t>
      </w:r>
      <w:r w:rsidRPr="00BE1EBA">
        <w:t xml:space="preserve">est pas nécessaire de refaire les essais des produits. </w:t>
      </w:r>
    </w:p>
    <w:p w:rsidR="00D07F21" w:rsidRPr="00BE1EBA" w:rsidRDefault="00D07F21" w:rsidP="00E42C32">
      <w:pPr>
        <w:spacing w:after="200" w:line="276" w:lineRule="auto"/>
        <w:ind w:left="1418" w:hanging="851"/>
        <w:rPr>
          <w:szCs w:val="20"/>
        </w:rPr>
      </w:pPr>
      <w:r w:rsidRPr="00BE1EBA">
        <w:t>2.2.12</w:t>
      </w:r>
      <w:r w:rsidRPr="00BE1EBA">
        <w:tab/>
        <w:t>Modifications des produits : Si les produits sont modifiés, les essais à refaire doivent être déterminés par une installation d</w:t>
      </w:r>
      <w:r w:rsidR="00812400" w:rsidRPr="00BE1EBA">
        <w:t>’</w:t>
      </w:r>
      <w:r w:rsidRPr="00BE1EBA">
        <w:t xml:space="preserve">essai acceptable. Toutes les modifications apportées </w:t>
      </w:r>
      <w:r w:rsidRPr="00BE1EBA">
        <w:lastRenderedPageBreak/>
        <w:t>aux produits doivent être conformes à toutes les exigences d</w:t>
      </w:r>
      <w:r w:rsidR="00812400" w:rsidRPr="00BE1EBA">
        <w:t>’</w:t>
      </w:r>
      <w:r w:rsidRPr="00BE1EBA">
        <w:t xml:space="preserve">essai de la présente annexe. </w:t>
      </w:r>
    </w:p>
    <w:p w:rsidR="00D07F21" w:rsidRPr="00BE1EBA" w:rsidRDefault="00D07F21" w:rsidP="00E42C32">
      <w:pPr>
        <w:spacing w:after="200" w:line="276" w:lineRule="auto"/>
        <w:ind w:left="1418" w:hanging="851"/>
        <w:rPr>
          <w:szCs w:val="20"/>
        </w:rPr>
      </w:pPr>
      <w:r w:rsidRPr="00BE1EBA">
        <w:t>2.2.13</w:t>
      </w:r>
      <w:r w:rsidRPr="00BE1EBA">
        <w:tab/>
        <w:t>Pour tous les rapports d</w:t>
      </w:r>
      <w:r w:rsidR="00812400" w:rsidRPr="00BE1EBA">
        <w:t>’</w:t>
      </w:r>
      <w:r w:rsidRPr="00BE1EBA">
        <w:t>essai qui ne portent pas précisément sur les produits visés par l</w:t>
      </w:r>
      <w:r w:rsidR="00812400" w:rsidRPr="00BE1EBA">
        <w:t>’</w:t>
      </w:r>
      <w:r w:rsidRPr="00BE1EBA">
        <w:t>arrangement en matière d</w:t>
      </w:r>
      <w:r w:rsidR="00812400" w:rsidRPr="00BE1EBA">
        <w:t>’</w:t>
      </w:r>
      <w:r w:rsidRPr="00BE1EBA">
        <w:t>approvisionnement, le fournisseur doit soumettre au Canada une explication de la raison pour laquelle la pire éventualité s</w:t>
      </w:r>
      <w:r w:rsidR="00812400" w:rsidRPr="00BE1EBA">
        <w:t>’</w:t>
      </w:r>
      <w:r w:rsidRPr="00BE1EBA">
        <w:t>applique aux produits. Une définition de la pire éventualité se trouve dans la norme BIFMA PD</w:t>
      </w:r>
      <w:r w:rsidR="003262E1" w:rsidRPr="00BE1EBA">
        <w:t>­</w:t>
      </w:r>
      <w:r w:rsidRPr="00BE1EBA">
        <w:t>1.</w:t>
      </w:r>
    </w:p>
    <w:p w:rsidR="00D07F21" w:rsidRPr="00BE1EBA" w:rsidRDefault="00D07F21" w:rsidP="00E42C32">
      <w:pPr>
        <w:pStyle w:val="ModlesEn-tte3"/>
      </w:pPr>
      <w:bookmarkStart w:id="84" w:name="_Toc412634829"/>
      <w:r w:rsidRPr="00BE1EBA">
        <w:t>3.0</w:t>
      </w:r>
      <w:r w:rsidRPr="00BE1EBA">
        <w:tab/>
        <w:t>TERMINOLOGIE</w:t>
      </w:r>
      <w:bookmarkEnd w:id="84"/>
    </w:p>
    <w:p w:rsidR="00D07F21" w:rsidRPr="00BE1EBA" w:rsidRDefault="00D07F21" w:rsidP="00D07F21">
      <w:pPr>
        <w:pStyle w:val="DefaultText1"/>
        <w:shd w:val="clear" w:color="auto" w:fill="FFFFFF"/>
        <w:tabs>
          <w:tab w:val="left" w:pos="709"/>
        </w:tabs>
        <w:ind w:left="709" w:hanging="709"/>
      </w:pPr>
      <w:r w:rsidRPr="00BE1EBA">
        <w:rPr>
          <w:color w:val="000000" w:themeColor="text1"/>
        </w:rPr>
        <w:t>Aux fins des présentes spécifications pour des postes de travail, les définitions ci</w:t>
      </w:r>
      <w:r w:rsidR="003262E1" w:rsidRPr="00BE1EBA">
        <w:rPr>
          <w:color w:val="000000" w:themeColor="text1"/>
        </w:rPr>
        <w:t>­</w:t>
      </w:r>
      <w:r w:rsidRPr="00BE1EBA">
        <w:rPr>
          <w:color w:val="000000" w:themeColor="text1"/>
        </w:rPr>
        <w:t>dessous s</w:t>
      </w:r>
      <w:r w:rsidR="00812400" w:rsidRPr="00BE1EBA">
        <w:rPr>
          <w:color w:val="000000" w:themeColor="text1"/>
        </w:rPr>
        <w:t>’</w:t>
      </w:r>
      <w:r w:rsidRPr="00BE1EBA">
        <w:rPr>
          <w:color w:val="000000" w:themeColor="text1"/>
        </w:rPr>
        <w:t>appliquent.</w:t>
      </w:r>
    </w:p>
    <w:p w:rsidR="00D07F21" w:rsidRPr="00BE1EBA" w:rsidRDefault="00D07F21" w:rsidP="000A2378">
      <w:pPr>
        <w:pStyle w:val="DefaultText1"/>
        <w:shd w:val="clear" w:color="auto" w:fill="FFFFFF"/>
        <w:tabs>
          <w:tab w:val="left" w:pos="567"/>
        </w:tabs>
        <w:ind w:left="567" w:hanging="567"/>
      </w:pPr>
      <w:r w:rsidRPr="00BE1EBA">
        <w:t>3.1</w:t>
      </w:r>
      <w:r w:rsidRPr="00BE1EBA">
        <w:tab/>
      </w:r>
      <w:r w:rsidRPr="00BE1EBA">
        <w:rPr>
          <w:color w:val="000000" w:themeColor="text1"/>
        </w:rPr>
        <w:t>Installation d</w:t>
      </w:r>
      <w:r w:rsidR="00812400" w:rsidRPr="00BE1EBA">
        <w:rPr>
          <w:color w:val="000000" w:themeColor="text1"/>
        </w:rPr>
        <w:t>’</w:t>
      </w:r>
      <w:r w:rsidRPr="00BE1EBA">
        <w:rPr>
          <w:color w:val="000000" w:themeColor="text1"/>
        </w:rPr>
        <w:t>essai acceptable : Laboratoire accrédité par un organisme reconnu à l</w:t>
      </w:r>
      <w:r w:rsidR="00812400" w:rsidRPr="00BE1EBA">
        <w:rPr>
          <w:color w:val="000000" w:themeColor="text1"/>
        </w:rPr>
        <w:t>’</w:t>
      </w:r>
      <w:r w:rsidRPr="00BE1EBA">
        <w:rPr>
          <w:color w:val="000000" w:themeColor="text1"/>
        </w:rPr>
        <w:t>échelle nationale comme le Conseil canadien des normes (CCN) et l</w:t>
      </w:r>
      <w:r w:rsidR="00812400" w:rsidRPr="00BE1EBA">
        <w:rPr>
          <w:color w:val="000000" w:themeColor="text1"/>
        </w:rPr>
        <w:t>’</w:t>
      </w:r>
      <w:r w:rsidRPr="00BE1EBA">
        <w:rPr>
          <w:color w:val="000000" w:themeColor="text1"/>
        </w:rPr>
        <w:t>American Association for Laboratory Accreditation (A2LA) ou qui est inscrit au Programme d</w:t>
      </w:r>
      <w:r w:rsidR="00812400" w:rsidRPr="00BE1EBA">
        <w:rPr>
          <w:color w:val="000000" w:themeColor="text1"/>
        </w:rPr>
        <w:t>’</w:t>
      </w:r>
      <w:r w:rsidRPr="00BE1EBA">
        <w:rPr>
          <w:color w:val="000000" w:themeColor="text1"/>
        </w:rPr>
        <w:t>acceptation des laboratoires de l</w:t>
      </w:r>
      <w:r w:rsidR="00812400" w:rsidRPr="00BE1EBA">
        <w:rPr>
          <w:color w:val="000000" w:themeColor="text1"/>
        </w:rPr>
        <w:t>’</w:t>
      </w:r>
      <w:r w:rsidRPr="00BE1EBA">
        <w:rPr>
          <w:color w:val="000000" w:themeColor="text1"/>
        </w:rPr>
        <w:t>Office des normes générales du Canada (ONGC) pour la portée applicable des essais demandés</w:t>
      </w:r>
      <w:r w:rsidRPr="00BE1EBA">
        <w:t>.</w:t>
      </w:r>
    </w:p>
    <w:p w:rsidR="00D07F21" w:rsidRPr="00BE1EBA" w:rsidRDefault="00D07F21" w:rsidP="000A2378">
      <w:pPr>
        <w:tabs>
          <w:tab w:val="left" w:pos="567"/>
        </w:tabs>
        <w:ind w:left="567" w:hanging="567"/>
        <w:rPr>
          <w:szCs w:val="20"/>
        </w:rPr>
      </w:pPr>
      <w:r w:rsidRPr="00BE1EBA">
        <w:t>3.2</w:t>
      </w:r>
      <w:r w:rsidRPr="00BE1EBA">
        <w:tab/>
        <w:t>Modulaire : Se dit d</w:t>
      </w:r>
      <w:r w:rsidR="00812400" w:rsidRPr="00BE1EBA">
        <w:t>’</w:t>
      </w:r>
      <w:r w:rsidRPr="00BE1EBA">
        <w:t>un ensemble de modules connexes de dimensions multiples, assemblés dans des configurations horizontales et/ou verticales, qui servent à différentes fins, y compris au rangement, ou encore de présentoirs ou de tablettes.</w:t>
      </w:r>
    </w:p>
    <w:p w:rsidR="00D07F21" w:rsidRPr="00BE1EBA" w:rsidRDefault="00D07F21" w:rsidP="000A2378">
      <w:pPr>
        <w:tabs>
          <w:tab w:val="left" w:pos="567"/>
        </w:tabs>
        <w:ind w:left="567" w:hanging="567"/>
        <w:rPr>
          <w:szCs w:val="20"/>
        </w:rPr>
      </w:pPr>
      <w:r w:rsidRPr="00BE1EBA">
        <w:t>3.3</w:t>
      </w:r>
      <w:r w:rsidRPr="00BE1EBA">
        <w:tab/>
        <w:t>Équipement auxiliaire : Composant qui améliore la principale fonction d</w:t>
      </w:r>
      <w:r w:rsidR="00812400" w:rsidRPr="00BE1EBA">
        <w:t>’</w:t>
      </w:r>
      <w:r w:rsidRPr="00BE1EBA">
        <w:t>un système. Exemples : support pour ordinateur, support pour clavier et souris, bras de moniteur et appareil d</w:t>
      </w:r>
      <w:r w:rsidR="00812400" w:rsidRPr="00BE1EBA">
        <w:t>’</w:t>
      </w:r>
      <w:r w:rsidRPr="00BE1EBA">
        <w:t>éclairage.</w:t>
      </w:r>
    </w:p>
    <w:p w:rsidR="00D07F21" w:rsidRPr="00BE1EBA" w:rsidRDefault="00D07F21" w:rsidP="000A2378">
      <w:pPr>
        <w:tabs>
          <w:tab w:val="left" w:pos="567"/>
        </w:tabs>
        <w:ind w:left="567" w:hanging="567"/>
        <w:rPr>
          <w:szCs w:val="20"/>
        </w:rPr>
      </w:pPr>
      <w:r w:rsidRPr="00BE1EBA">
        <w:t>3.4</w:t>
      </w:r>
      <w:r w:rsidRPr="00BE1EBA">
        <w:tab/>
        <w:t>Hauteurs de cloison : Hauteur d</w:t>
      </w:r>
      <w:r w:rsidR="00812400" w:rsidRPr="00BE1EBA">
        <w:t>’</w:t>
      </w:r>
      <w:r w:rsidRPr="00BE1EBA">
        <w:t>une cloison de base, hauteur offrant une intimité au niveau de la surface de travail et hauteur offrant une intimité en position assise, chacune définie comme suit :</w:t>
      </w:r>
    </w:p>
    <w:p w:rsidR="00D07F21" w:rsidRPr="00BE1EBA" w:rsidRDefault="00D07F21" w:rsidP="000A2378">
      <w:pPr>
        <w:pStyle w:val="DefaultText1"/>
        <w:shd w:val="clear" w:color="auto" w:fill="FFFFFF"/>
        <w:tabs>
          <w:tab w:val="left" w:pos="1134"/>
        </w:tabs>
        <w:ind w:left="1134" w:hanging="567"/>
      </w:pPr>
      <w:r w:rsidRPr="00BE1EBA">
        <w:t>3.4.1</w:t>
      </w:r>
      <w:r w:rsidRPr="00BE1EBA">
        <w:tab/>
        <w:t>Cloisons de base : La hauteur d</w:t>
      </w:r>
      <w:r w:rsidR="00812400" w:rsidRPr="00BE1EBA">
        <w:t>’</w:t>
      </w:r>
      <w:r w:rsidRPr="00BE1EBA">
        <w:t>une cloison de base doit se situer entre 711 mm (28 po) et 965 mm (38 po), inclusivement.</w:t>
      </w:r>
    </w:p>
    <w:p w:rsidR="00D07F21" w:rsidRPr="00BE1EBA" w:rsidRDefault="00D07F21" w:rsidP="000A2378">
      <w:pPr>
        <w:pStyle w:val="DefaultText1"/>
        <w:shd w:val="clear" w:color="auto" w:fill="FFFFFF"/>
        <w:tabs>
          <w:tab w:val="left" w:pos="1134"/>
        </w:tabs>
        <w:ind w:left="1134" w:hanging="567"/>
      </w:pPr>
      <w:r w:rsidRPr="00BE1EBA">
        <w:t>3.4.2</w:t>
      </w:r>
      <w:r w:rsidRPr="00BE1EBA">
        <w:tab/>
        <w:t>Cloisons offrant une intimité au niveau de la surface de travail : La hauteur de ces cloisons doit se situer entre 1065 mm (42 po) et 1219 mm (48 po), inclusivement.</w:t>
      </w:r>
    </w:p>
    <w:p w:rsidR="00D07F21" w:rsidRPr="00BE1EBA" w:rsidRDefault="00D07F21" w:rsidP="000A2378">
      <w:pPr>
        <w:pStyle w:val="DefaultText1"/>
        <w:shd w:val="clear" w:color="auto" w:fill="FFFFFF"/>
        <w:tabs>
          <w:tab w:val="left" w:pos="1134"/>
        </w:tabs>
        <w:ind w:left="1134" w:hanging="567"/>
      </w:pPr>
      <w:r w:rsidRPr="00BE1EBA">
        <w:t>3.4.3</w:t>
      </w:r>
      <w:r w:rsidRPr="00BE1EBA">
        <w:tab/>
        <w:t>Cloisons offrant une intimité en position assise : La hauteur de ces cloisons doit se situer entre 1270 mm (50 po) et 1371 mm (54 po), inclusivement.</w:t>
      </w:r>
    </w:p>
    <w:p w:rsidR="00D07F21" w:rsidRPr="00BE1EBA" w:rsidRDefault="00D07F21" w:rsidP="000A2378">
      <w:pPr>
        <w:pStyle w:val="BodyText"/>
        <w:tabs>
          <w:tab w:val="left" w:pos="567"/>
        </w:tabs>
        <w:ind w:left="567" w:hanging="567"/>
        <w:rPr>
          <w:rFonts w:ascii="Arial" w:hAnsi="Arial" w:cs="Arial"/>
          <w:b/>
          <w:bCs/>
          <w:sz w:val="20"/>
        </w:rPr>
      </w:pPr>
      <w:r w:rsidRPr="00BE1EBA">
        <w:rPr>
          <w:rFonts w:ascii="Arial" w:hAnsi="Arial"/>
          <w:sz w:val="20"/>
        </w:rPr>
        <w:t>3.5</w:t>
      </w:r>
      <w:r w:rsidRPr="00BE1EBA">
        <w:tab/>
      </w:r>
      <w:r w:rsidRPr="00BE1EBA">
        <w:rPr>
          <w:rFonts w:ascii="Arial" w:hAnsi="Arial"/>
          <w:sz w:val="20"/>
        </w:rPr>
        <w:t>Panneau d</w:t>
      </w:r>
      <w:r w:rsidR="00812400" w:rsidRPr="00BE1EBA">
        <w:rPr>
          <w:rFonts w:ascii="Arial" w:hAnsi="Arial"/>
          <w:sz w:val="20"/>
        </w:rPr>
        <w:t>’</w:t>
      </w:r>
      <w:r w:rsidRPr="00BE1EBA">
        <w:rPr>
          <w:rFonts w:ascii="Arial" w:hAnsi="Arial"/>
          <w:sz w:val="20"/>
        </w:rPr>
        <w:t>intimité : Accessoire non porteur qui procure de l</w:t>
      </w:r>
      <w:r w:rsidR="00812400" w:rsidRPr="00BE1EBA">
        <w:rPr>
          <w:rFonts w:ascii="Arial" w:hAnsi="Arial"/>
          <w:sz w:val="20"/>
        </w:rPr>
        <w:t>’</w:t>
      </w:r>
      <w:r w:rsidRPr="00BE1EBA">
        <w:rPr>
          <w:rFonts w:ascii="Arial" w:hAnsi="Arial"/>
          <w:sz w:val="20"/>
        </w:rPr>
        <w:t>intimité et qui peut être fixé sur le dessus d</w:t>
      </w:r>
      <w:r w:rsidR="00812400" w:rsidRPr="00BE1EBA">
        <w:rPr>
          <w:rFonts w:ascii="Arial" w:hAnsi="Arial"/>
          <w:sz w:val="20"/>
        </w:rPr>
        <w:t>’</w:t>
      </w:r>
      <w:r w:rsidRPr="00BE1EBA">
        <w:rPr>
          <w:rFonts w:ascii="Arial" w:hAnsi="Arial"/>
          <w:sz w:val="20"/>
        </w:rPr>
        <w:t>une cloison ou sur le bord d</w:t>
      </w:r>
      <w:r w:rsidR="00812400" w:rsidRPr="00BE1EBA">
        <w:rPr>
          <w:rFonts w:ascii="Arial" w:hAnsi="Arial"/>
          <w:sz w:val="20"/>
        </w:rPr>
        <w:t>’</w:t>
      </w:r>
      <w:r w:rsidRPr="00BE1EBA">
        <w:rPr>
          <w:rFonts w:ascii="Arial" w:hAnsi="Arial"/>
          <w:sz w:val="20"/>
        </w:rPr>
        <w:t>une surface de travail autostable ou soutenue aux cloisons.</w:t>
      </w:r>
    </w:p>
    <w:p w:rsidR="00D07F21" w:rsidRPr="00BE1EBA" w:rsidRDefault="00D07F21" w:rsidP="000A2378">
      <w:pPr>
        <w:tabs>
          <w:tab w:val="left" w:pos="567"/>
        </w:tabs>
        <w:ind w:left="567" w:hanging="567"/>
        <w:rPr>
          <w:szCs w:val="20"/>
        </w:rPr>
      </w:pPr>
      <w:r w:rsidRPr="00BE1EBA">
        <w:t>3.6</w:t>
      </w:r>
      <w:r w:rsidRPr="00BE1EBA">
        <w:tab/>
        <w:t>Composant soutenu : Produit destiné à être entièrement soutenu par un système de cloisons.</w:t>
      </w:r>
    </w:p>
    <w:p w:rsidR="00D07F21" w:rsidRPr="00BE1EBA" w:rsidRDefault="00D07F21" w:rsidP="000A2378">
      <w:pPr>
        <w:tabs>
          <w:tab w:val="left" w:pos="567"/>
        </w:tabs>
        <w:ind w:left="567" w:hanging="567"/>
        <w:rPr>
          <w:szCs w:val="20"/>
        </w:rPr>
      </w:pPr>
      <w:r w:rsidRPr="00BE1EBA">
        <w:t>3.7</w:t>
      </w:r>
      <w:r w:rsidRPr="00BE1EBA">
        <w:tab/>
        <w:t>Surface réglable par l</w:t>
      </w:r>
      <w:r w:rsidR="00812400" w:rsidRPr="00BE1EBA">
        <w:t>’</w:t>
      </w:r>
      <w:r w:rsidRPr="00BE1EBA">
        <w:t>utilisateur : Surface réglable en hauteur par l</w:t>
      </w:r>
      <w:r w:rsidR="00812400" w:rsidRPr="00BE1EBA">
        <w:t>’</w:t>
      </w:r>
      <w:r w:rsidRPr="00BE1EBA">
        <w:t xml:space="preserve">utilisateur pour permettre à ce dernier de travailler debout ou assis. </w:t>
      </w:r>
    </w:p>
    <w:p w:rsidR="00D07F21" w:rsidRPr="00BE1EBA" w:rsidRDefault="00D07F21" w:rsidP="000A2378">
      <w:pPr>
        <w:tabs>
          <w:tab w:val="left" w:pos="567"/>
        </w:tabs>
        <w:ind w:left="567" w:hanging="567"/>
        <w:rPr>
          <w:szCs w:val="20"/>
        </w:rPr>
      </w:pPr>
      <w:r w:rsidRPr="00BE1EBA">
        <w:t>3.8</w:t>
      </w:r>
      <w:r w:rsidRPr="00BE1EBA">
        <w:tab/>
        <w:t>Composant hors module : Support hors module permettant d</w:t>
      </w:r>
      <w:r w:rsidR="00812400" w:rsidRPr="00BE1EBA">
        <w:t>’</w:t>
      </w:r>
      <w:r w:rsidRPr="00BE1EBA">
        <w:t>installer un composant sur une cloison, sans que celui</w:t>
      </w:r>
      <w:r w:rsidR="003262E1" w:rsidRPr="00BE1EBA">
        <w:t>­</w:t>
      </w:r>
      <w:r w:rsidRPr="00BE1EBA">
        <w:t xml:space="preserve">ci ait nécessairement la même largeur que la cloison. </w:t>
      </w:r>
    </w:p>
    <w:p w:rsidR="00D07F21" w:rsidRPr="00BE1EBA" w:rsidRDefault="00D07F21" w:rsidP="000A2378">
      <w:pPr>
        <w:tabs>
          <w:tab w:val="left" w:pos="567"/>
        </w:tabs>
        <w:ind w:left="567" w:hanging="567"/>
        <w:rPr>
          <w:bCs/>
          <w:szCs w:val="20"/>
        </w:rPr>
      </w:pPr>
      <w:r w:rsidRPr="00BE1EBA">
        <w:t>3.9</w:t>
      </w:r>
      <w:r w:rsidRPr="00BE1EBA">
        <w:tab/>
        <w:t>Caisson : Unité autostable plus profonde que large, d</w:t>
      </w:r>
      <w:r w:rsidR="00812400" w:rsidRPr="00BE1EBA">
        <w:t>’</w:t>
      </w:r>
      <w:r w:rsidRPr="00BE1EBA">
        <w:t>une hauteur inférieure à 787 mm (31 po) et dotée d</w:t>
      </w:r>
      <w:r w:rsidR="00812400" w:rsidRPr="00BE1EBA">
        <w:t>’</w:t>
      </w:r>
      <w:r w:rsidRPr="00BE1EBA">
        <w:t>éléments coulissants. Les éléments coulissants sont généralement utilisés pour le rangement ou le classement. Les caissons peuvent servir de support pour surface de travail, être autostables ou mobiles. Le dessus des caissons doit être configuré de manière à pouvoir servir de siège, de support d</w:t>
      </w:r>
      <w:r w:rsidR="00812400" w:rsidRPr="00BE1EBA">
        <w:t>’</w:t>
      </w:r>
      <w:r w:rsidRPr="00BE1EBA">
        <w:t>une surface de travail ou de prolongement d</w:t>
      </w:r>
      <w:r w:rsidR="00812400" w:rsidRPr="00BE1EBA">
        <w:t>’</w:t>
      </w:r>
      <w:r w:rsidRPr="00BE1EBA">
        <w:t>une surface de travail.</w:t>
      </w:r>
    </w:p>
    <w:p w:rsidR="00D07F21" w:rsidRPr="00BE1EBA" w:rsidRDefault="00D07F21" w:rsidP="000A2378">
      <w:pPr>
        <w:tabs>
          <w:tab w:val="left" w:pos="1134"/>
        </w:tabs>
        <w:ind w:left="1134" w:hanging="567"/>
        <w:rPr>
          <w:bCs/>
          <w:szCs w:val="20"/>
        </w:rPr>
      </w:pPr>
      <w:r w:rsidRPr="00BE1EBA">
        <w:t>3.9.1</w:t>
      </w:r>
      <w:r w:rsidRPr="00BE1EBA">
        <w:tab/>
        <w:t>Caisson supportant une surface de travail : Caisson utilisé en remplacement des supports pour surface de travail, comme les piètements en C et en porte</w:t>
      </w:r>
      <w:r w:rsidR="003262E1" w:rsidRPr="00BE1EBA">
        <w:t>­</w:t>
      </w:r>
      <w:r w:rsidRPr="00BE1EBA">
        <w:t>à</w:t>
      </w:r>
      <w:r w:rsidR="003262E1" w:rsidRPr="00BE1EBA">
        <w:t>­</w:t>
      </w:r>
      <w:r w:rsidRPr="00BE1EBA">
        <w:t>faux ou les panneaux de côté.</w:t>
      </w:r>
    </w:p>
    <w:p w:rsidR="00D07F21" w:rsidRPr="00BE1EBA" w:rsidRDefault="00D07F21" w:rsidP="000A2378">
      <w:pPr>
        <w:tabs>
          <w:tab w:val="left" w:pos="1134"/>
        </w:tabs>
        <w:ind w:left="1134" w:hanging="567"/>
        <w:rPr>
          <w:szCs w:val="20"/>
        </w:rPr>
      </w:pPr>
      <w:r w:rsidRPr="00BE1EBA">
        <w:t>3.9.2</w:t>
      </w:r>
      <w:r w:rsidRPr="00BE1EBA">
        <w:tab/>
        <w:t>Caisson mobile : Caisson sur roulettes que l</w:t>
      </w:r>
      <w:r w:rsidR="00812400" w:rsidRPr="00BE1EBA">
        <w:t>’</w:t>
      </w:r>
      <w:r w:rsidRPr="00BE1EBA">
        <w:t>utilisateur peut facilement déplacer.</w:t>
      </w:r>
    </w:p>
    <w:p w:rsidR="00D07F21" w:rsidRPr="00BE1EBA" w:rsidRDefault="00D07F21" w:rsidP="000A2378">
      <w:pPr>
        <w:tabs>
          <w:tab w:val="left" w:pos="1134"/>
        </w:tabs>
        <w:ind w:left="1134" w:hanging="567"/>
        <w:rPr>
          <w:szCs w:val="20"/>
        </w:rPr>
      </w:pPr>
      <w:r w:rsidRPr="00BE1EBA">
        <w:t>3.9.3</w:t>
      </w:r>
      <w:r w:rsidRPr="00BE1EBA">
        <w:tab/>
        <w:t>Caisson mobile avec surface servant de siège : Caisson mobile permettant à un invité occasionnel de s</w:t>
      </w:r>
      <w:r w:rsidR="00812400" w:rsidRPr="00BE1EBA">
        <w:t>’</w:t>
      </w:r>
      <w:r w:rsidRPr="00BE1EBA">
        <w:t>asseoir.</w:t>
      </w:r>
    </w:p>
    <w:p w:rsidR="00D07F21" w:rsidRPr="00BE1EBA" w:rsidRDefault="00D07F21" w:rsidP="00643669">
      <w:pPr>
        <w:ind w:left="567" w:hanging="567"/>
      </w:pPr>
      <w:r w:rsidRPr="00BE1EBA">
        <w:lastRenderedPageBreak/>
        <w:t>3.10</w:t>
      </w:r>
      <w:r w:rsidRPr="00BE1EBA">
        <w:tab/>
        <w:t>Élément de rangement inférieur ou bahut : Élément de rangement autostable pouvant servir de support aux surfaces de travail et aux huches. L</w:t>
      </w:r>
      <w:r w:rsidR="00812400" w:rsidRPr="00BE1EBA">
        <w:t>’</w:t>
      </w:r>
      <w:r w:rsidRPr="00BE1EBA">
        <w:t>élément de rangement inférieur ou le bahut doit également offrir une intimité visuelle à l</w:t>
      </w:r>
      <w:r w:rsidR="00812400" w:rsidRPr="00BE1EBA">
        <w:t>’</w:t>
      </w:r>
      <w:r w:rsidRPr="00BE1EBA">
        <w:t>utilisateur.</w:t>
      </w:r>
    </w:p>
    <w:p w:rsidR="00D07F21" w:rsidRPr="00BE1EBA" w:rsidRDefault="00D07F21" w:rsidP="00643669">
      <w:pPr>
        <w:ind w:left="567" w:hanging="567"/>
      </w:pPr>
      <w:r w:rsidRPr="00BE1EBA">
        <w:t>3.11</w:t>
      </w:r>
      <w:r w:rsidRPr="00BE1EBA">
        <w:tab/>
        <w:t>Panneau additionnel : Panneau supporté par la cloison de base</w:t>
      </w:r>
      <w:r w:rsidRPr="00BE1EBA">
        <w:rPr>
          <w:rFonts w:eastAsiaTheme="minorHAnsi"/>
        </w:rPr>
        <w:t>.</w:t>
      </w:r>
      <w:r w:rsidRPr="00BE1EBA">
        <w:t xml:space="preserve"> </w:t>
      </w:r>
    </w:p>
    <w:p w:rsidR="000A2378" w:rsidRPr="00BE1EBA" w:rsidRDefault="00D07F21" w:rsidP="00643669">
      <w:pPr>
        <w:ind w:left="567" w:hanging="567"/>
        <w:rPr>
          <w:bCs/>
          <w:iCs/>
        </w:rPr>
      </w:pPr>
      <w:r w:rsidRPr="00BE1EBA">
        <w:t>3.12</w:t>
      </w:r>
      <w:r w:rsidRPr="00BE1EBA">
        <w:tab/>
        <w:t>Panneau empilable : Panneau constitué d</w:t>
      </w:r>
      <w:r w:rsidR="00812400" w:rsidRPr="00BE1EBA">
        <w:t>’</w:t>
      </w:r>
      <w:r w:rsidRPr="00BE1EBA">
        <w:t>une cloison de base et d</w:t>
      </w:r>
      <w:r w:rsidR="00812400" w:rsidRPr="00BE1EBA">
        <w:t>’</w:t>
      </w:r>
      <w:r w:rsidRPr="00BE1EBA">
        <w:t>un panneau additionnel. Il permet d</w:t>
      </w:r>
      <w:r w:rsidR="00812400" w:rsidRPr="00BE1EBA">
        <w:t>’</w:t>
      </w:r>
      <w:r w:rsidRPr="00BE1EBA">
        <w:t>augmenter ou de diminuer la hauteur des cloisons sans avoir à démonter tout le système de cloisons. Chaque panneau additionnel d</w:t>
      </w:r>
      <w:r w:rsidR="00812400" w:rsidRPr="00BE1EBA">
        <w:t>’</w:t>
      </w:r>
      <w:r w:rsidRPr="00BE1EBA">
        <w:t>un panneau empilable doit être porteur.</w:t>
      </w:r>
    </w:p>
    <w:p w:rsidR="00D07F21" w:rsidRPr="00BE1EBA" w:rsidRDefault="00D07F21" w:rsidP="000A2378">
      <w:pPr>
        <w:ind w:left="567" w:hanging="567"/>
        <w:rPr>
          <w:bCs/>
        </w:rPr>
      </w:pPr>
      <w:r w:rsidRPr="00BE1EBA">
        <w:t xml:space="preserve">3.13 </w:t>
      </w:r>
      <w:r w:rsidRPr="00BE1EBA">
        <w:tab/>
        <w:t>Cadre de cloison avec panneau vitré : Cadre conçu pour recevoir un panneau vitré.</w:t>
      </w:r>
    </w:p>
    <w:p w:rsidR="00D07F21" w:rsidRPr="00BE1EBA" w:rsidRDefault="00D07F21" w:rsidP="000A2378">
      <w:pPr>
        <w:ind w:left="567" w:hanging="567"/>
      </w:pPr>
      <w:r w:rsidRPr="00BE1EBA">
        <w:t>3.14</w:t>
      </w:r>
      <w:r w:rsidRPr="00BE1EBA">
        <w:tab/>
        <w:t>Plage de hauteurs en position assise : Voir la norme CAN/CGSB</w:t>
      </w:r>
      <w:r w:rsidR="003262E1" w:rsidRPr="00BE1EBA">
        <w:t>­</w:t>
      </w:r>
      <w:r w:rsidRPr="00BE1EBA">
        <w:t>44.229</w:t>
      </w:r>
      <w:r w:rsidR="003262E1" w:rsidRPr="00BE1EBA">
        <w:t>­</w:t>
      </w:r>
      <w:r w:rsidRPr="00BE1EBA">
        <w:t>2008, alinéa 6.2.2, Réglage par l</w:t>
      </w:r>
      <w:r w:rsidR="00812400" w:rsidRPr="00BE1EBA">
        <w:t>’</w:t>
      </w:r>
      <w:r w:rsidRPr="00BE1EBA">
        <w:t>utilisateur.</w:t>
      </w:r>
    </w:p>
    <w:p w:rsidR="00D07F21" w:rsidRPr="00BE1EBA" w:rsidRDefault="00D07F21" w:rsidP="000A2378">
      <w:pPr>
        <w:tabs>
          <w:tab w:val="left" w:pos="567"/>
        </w:tabs>
        <w:ind w:left="567" w:hanging="567"/>
        <w:rPr>
          <w:szCs w:val="20"/>
        </w:rPr>
      </w:pPr>
      <w:r w:rsidRPr="00BE1EBA">
        <w:t>3.15</w:t>
      </w:r>
      <w:r w:rsidRPr="00BE1EBA">
        <w:tab/>
        <w:t>Surface de travail de type comptoir : Ensemble de surfaces de travail raccordées longitudinalement les unes aux autres.</w:t>
      </w:r>
    </w:p>
    <w:p w:rsidR="00D07F21" w:rsidRPr="00BE1EBA" w:rsidRDefault="00D07F21" w:rsidP="000A2378">
      <w:pPr>
        <w:tabs>
          <w:tab w:val="left" w:pos="567"/>
        </w:tabs>
        <w:ind w:left="567" w:hanging="567"/>
        <w:rPr>
          <w:szCs w:val="20"/>
        </w:rPr>
      </w:pPr>
      <w:r w:rsidRPr="00BE1EBA">
        <w:t>3.16</w:t>
      </w:r>
      <w:r w:rsidRPr="00BE1EBA">
        <w:tab/>
        <w:t>Module d</w:t>
      </w:r>
      <w:r w:rsidR="00812400" w:rsidRPr="00BE1EBA">
        <w:t>’</w:t>
      </w:r>
      <w:r w:rsidRPr="00BE1EBA">
        <w:t>alimentation et de communication de données à montage frontal : Module pouvant être installé d</w:t>
      </w:r>
      <w:r w:rsidR="00812400" w:rsidRPr="00BE1EBA">
        <w:t>’</w:t>
      </w:r>
      <w:r w:rsidRPr="00BE1EBA">
        <w:t>un côté ou de l</w:t>
      </w:r>
      <w:r w:rsidR="00812400" w:rsidRPr="00BE1EBA">
        <w:t>’</w:t>
      </w:r>
      <w:r w:rsidRPr="00BE1EBA">
        <w:t>autre de la cloison et comportant des prises de courant doubles, ainsi que des prises voix et données. Ces prises sont installées à des endroits prédéterminés sur la surface du cadre de la cloison. Le module est conçu pour assurer un accès facile aux prises sans utiliser de porte d</w:t>
      </w:r>
      <w:r w:rsidR="00812400" w:rsidRPr="00BE1EBA">
        <w:t>’</w:t>
      </w:r>
      <w:r w:rsidRPr="00BE1EBA">
        <w:t xml:space="preserve">accès. </w:t>
      </w:r>
    </w:p>
    <w:p w:rsidR="00D07F21" w:rsidRPr="00BE1EBA" w:rsidRDefault="00D07F21" w:rsidP="000A2378">
      <w:pPr>
        <w:pStyle w:val="ModlesEn-tte3"/>
      </w:pPr>
      <w:bookmarkStart w:id="85" w:name="_Toc412634830"/>
      <w:r w:rsidRPr="00BE1EBA">
        <w:t>4.0</w:t>
      </w:r>
      <w:r w:rsidRPr="00BE1EBA">
        <w:tab/>
        <w:t>CATÉGORIES – Postes de travail</w:t>
      </w:r>
      <w:bookmarkEnd w:id="85"/>
    </w:p>
    <w:p w:rsidR="00D07F21" w:rsidRPr="00BE1EBA" w:rsidRDefault="00D07F21" w:rsidP="00D07F21">
      <w:pPr>
        <w:pStyle w:val="DefaultText1"/>
        <w:shd w:val="clear" w:color="auto" w:fill="FFFFFF"/>
        <w:tabs>
          <w:tab w:val="left" w:pos="709"/>
        </w:tabs>
        <w:ind w:left="709" w:hanging="709"/>
      </w:pPr>
      <w:r w:rsidRPr="00BE1EBA">
        <w:t>4.1</w:t>
      </w:r>
      <w:r w:rsidRPr="00BE1EBA">
        <w:tab/>
        <w:t>Les postes de travail sont répartis dans les catégories suivantes :</w:t>
      </w:r>
    </w:p>
    <w:p w:rsidR="00D07F21" w:rsidRPr="00BE1EBA" w:rsidRDefault="00D07F21" w:rsidP="00E35B27">
      <w:pPr>
        <w:pStyle w:val="DefaultText1"/>
        <w:shd w:val="clear" w:color="auto" w:fill="FFFFFF"/>
        <w:tabs>
          <w:tab w:val="left" w:pos="567"/>
        </w:tabs>
        <w:ind w:left="567" w:hanging="567"/>
      </w:pPr>
      <w:r w:rsidRPr="00BE1EBA">
        <w:tab/>
        <w:t>4.1.1</w:t>
      </w:r>
      <w:r w:rsidRPr="00BE1EBA">
        <w:tab/>
        <w:t>Catégorie 1 – Système de cloisons interraccordables et autostables</w:t>
      </w:r>
    </w:p>
    <w:p w:rsidR="00D07F21" w:rsidRPr="00BE1EBA" w:rsidRDefault="00D07F21" w:rsidP="00E35B27">
      <w:pPr>
        <w:pStyle w:val="DefaultText1"/>
        <w:shd w:val="clear" w:color="auto" w:fill="FFFFFF"/>
        <w:tabs>
          <w:tab w:val="left" w:pos="567"/>
        </w:tabs>
        <w:ind w:left="567" w:hanging="567"/>
      </w:pPr>
      <w:r w:rsidRPr="00BE1EBA">
        <w:tab/>
        <w:t>4.1.2</w:t>
      </w:r>
      <w:r w:rsidRPr="00BE1EBA">
        <w:tab/>
        <w:t>Catégorie 2 – Tables ou bureaux autostables à hauteur réglable</w:t>
      </w:r>
    </w:p>
    <w:p w:rsidR="00D07F21" w:rsidRPr="00BE1EBA" w:rsidRDefault="00D07F21" w:rsidP="00E35B27">
      <w:pPr>
        <w:pStyle w:val="DefaultText1"/>
        <w:shd w:val="clear" w:color="auto" w:fill="FFFFFF"/>
        <w:tabs>
          <w:tab w:val="left" w:pos="567"/>
        </w:tabs>
        <w:ind w:left="567" w:hanging="567"/>
      </w:pPr>
      <w:r w:rsidRPr="00BE1EBA">
        <w:tab/>
        <w:t>4.1.3</w:t>
      </w:r>
      <w:r w:rsidRPr="00BE1EBA">
        <w:tab/>
        <w:t>Catégorie 3 – Classeurs et armoires de rangement en métal</w:t>
      </w:r>
    </w:p>
    <w:p w:rsidR="00D07F21" w:rsidRPr="00BE1EBA" w:rsidRDefault="00D07F21" w:rsidP="00E35B27">
      <w:pPr>
        <w:pStyle w:val="DefaultText1"/>
        <w:shd w:val="clear" w:color="auto" w:fill="FFFFFF"/>
        <w:tabs>
          <w:tab w:val="left" w:pos="567"/>
        </w:tabs>
        <w:ind w:left="567" w:hanging="567"/>
      </w:pPr>
      <w:r w:rsidRPr="00BE1EBA">
        <w:tab/>
        <w:t>4.1.4</w:t>
      </w:r>
      <w:r w:rsidRPr="00BE1EBA">
        <w:tab/>
        <w:t>Catégorie 4 – Mobilier autostable en placage de bois</w:t>
      </w:r>
    </w:p>
    <w:p w:rsidR="00D07F21" w:rsidRPr="00BE1EBA" w:rsidRDefault="00D07F21" w:rsidP="00643669">
      <w:pPr>
        <w:pStyle w:val="DefaultText1"/>
        <w:shd w:val="clear" w:color="auto" w:fill="FFFFFF"/>
        <w:tabs>
          <w:tab w:val="left" w:pos="567"/>
        </w:tabs>
        <w:ind w:left="567" w:hanging="567"/>
      </w:pPr>
      <w:r w:rsidRPr="00BE1EBA">
        <w:tab/>
        <w:t>4.1.5</w:t>
      </w:r>
      <w:r w:rsidRPr="00BE1EBA">
        <w:tab/>
        <w:t>Catégorie 5 – Équipements auxiliaires et appareils d</w:t>
      </w:r>
      <w:r w:rsidR="00812400" w:rsidRPr="00BE1EBA">
        <w:t>’</w:t>
      </w:r>
      <w:r w:rsidRPr="00BE1EBA">
        <w:t>éclairage</w:t>
      </w:r>
    </w:p>
    <w:p w:rsidR="00D07F21" w:rsidRPr="00BE1EBA" w:rsidRDefault="00D07F21" w:rsidP="00D07F21">
      <w:pPr>
        <w:pStyle w:val="DefaultText1"/>
        <w:shd w:val="clear" w:color="auto" w:fill="FFFFFF"/>
        <w:tabs>
          <w:tab w:val="left" w:pos="709"/>
        </w:tabs>
        <w:ind w:left="709" w:hanging="709"/>
        <w:rPr>
          <w:b/>
        </w:rPr>
      </w:pPr>
      <w:r w:rsidRPr="00BE1EBA">
        <w:rPr>
          <w:b/>
        </w:rPr>
        <w:t>5.0</w:t>
      </w:r>
      <w:r w:rsidRPr="00BE1EBA">
        <w:tab/>
      </w:r>
      <w:r w:rsidRPr="00BE1EBA">
        <w:rPr>
          <w:b/>
          <w:color w:val="000000" w:themeColor="text1"/>
        </w:rPr>
        <w:t>EXIGENCES GÉNÉRALES</w:t>
      </w:r>
    </w:p>
    <w:p w:rsidR="00D07F21" w:rsidRPr="00BE1EBA" w:rsidRDefault="00D07F21" w:rsidP="00D07F21">
      <w:pPr>
        <w:pStyle w:val="DefaultText1"/>
        <w:shd w:val="clear" w:color="auto" w:fill="FFFFFF"/>
        <w:tabs>
          <w:tab w:val="left" w:pos="709"/>
        </w:tabs>
        <w:ind w:left="709" w:hanging="709"/>
      </w:pPr>
      <w:r w:rsidRPr="00BE1EBA">
        <w:t>Catégorie 1</w:t>
      </w:r>
    </w:p>
    <w:p w:rsidR="00D07F21" w:rsidRPr="00BE1EBA" w:rsidRDefault="00D07F21" w:rsidP="00E35B27">
      <w:pPr>
        <w:pStyle w:val="Style1"/>
        <w:rPr>
          <w:b/>
        </w:rPr>
      </w:pPr>
      <w:r w:rsidRPr="00BE1EBA">
        <w:t>5.1</w:t>
      </w:r>
      <w:r w:rsidRPr="00BE1EBA">
        <w:tab/>
        <w:t>Interchangeabilité : Chaque composant doit pouvoir être assemblé, désassemblé et de reconfiguré lorsque des changements sont requis sans endommager le composant ni nuire à sa tenue en service, et les pièces doivent être remplaçables.</w:t>
      </w:r>
    </w:p>
    <w:p w:rsidR="00D07F21" w:rsidRPr="00BE1EBA" w:rsidRDefault="00D07F21" w:rsidP="00D07F21">
      <w:pPr>
        <w:pStyle w:val="Style1"/>
        <w:tabs>
          <w:tab w:val="left" w:pos="709"/>
        </w:tabs>
        <w:ind w:left="709" w:hanging="709"/>
        <w:rPr>
          <w:b/>
        </w:rPr>
      </w:pPr>
      <w:r w:rsidRPr="00BE1EBA">
        <w:t>Catégories 1, 2 et 4</w:t>
      </w:r>
    </w:p>
    <w:p w:rsidR="00D07F21" w:rsidRPr="00BE1EBA" w:rsidRDefault="00D07F21" w:rsidP="00E35B27">
      <w:pPr>
        <w:tabs>
          <w:tab w:val="left" w:pos="567"/>
        </w:tabs>
        <w:ind w:left="567" w:hanging="567"/>
        <w:rPr>
          <w:szCs w:val="20"/>
        </w:rPr>
      </w:pPr>
      <w:r w:rsidRPr="00BE1EBA">
        <w:t>5.2</w:t>
      </w:r>
      <w:r w:rsidRPr="00BE1EBA">
        <w:tab/>
        <w:t>Les surfaces de travail doivent être de construction et d</w:t>
      </w:r>
      <w:r w:rsidR="00812400" w:rsidRPr="00BE1EBA">
        <w:t>’</w:t>
      </w:r>
      <w:r w:rsidRPr="00BE1EBA">
        <w:t>aspect similaires et doivent permettre d</w:t>
      </w:r>
      <w:r w:rsidR="00812400" w:rsidRPr="00BE1EBA">
        <w:t>’</w:t>
      </w:r>
      <w:r w:rsidRPr="00BE1EBA">
        <w:t xml:space="preserve">intégrer des surfaces de travail dans un même poste de travail. </w:t>
      </w:r>
    </w:p>
    <w:p w:rsidR="00D07F21" w:rsidRPr="00BE1EBA" w:rsidRDefault="00D07F21" w:rsidP="00E35B27">
      <w:pPr>
        <w:tabs>
          <w:tab w:val="left" w:pos="567"/>
        </w:tabs>
        <w:ind w:left="567" w:hanging="567"/>
        <w:rPr>
          <w:rStyle w:val="InitialStyle"/>
        </w:rPr>
      </w:pPr>
      <w:r w:rsidRPr="00BE1EBA">
        <w:rPr>
          <w:rStyle w:val="InitialStyle"/>
        </w:rPr>
        <w:t>5.3</w:t>
      </w:r>
      <w:r w:rsidRPr="00BE1EBA">
        <w:tab/>
      </w:r>
      <w:r w:rsidRPr="00BE1EBA">
        <w:rPr>
          <w:rStyle w:val="InitialStyle"/>
        </w:rPr>
        <w:t>Lorsqu</w:t>
      </w:r>
      <w:r w:rsidR="00812400" w:rsidRPr="00BE1EBA">
        <w:rPr>
          <w:rStyle w:val="InitialStyle"/>
        </w:rPr>
        <w:t>’</w:t>
      </w:r>
      <w:r w:rsidRPr="00BE1EBA">
        <w:rPr>
          <w:rStyle w:val="InitialStyle"/>
        </w:rPr>
        <w:t>une surface de travail, une surface d</w:t>
      </w:r>
      <w:r w:rsidR="00812400" w:rsidRPr="00BE1EBA">
        <w:rPr>
          <w:rStyle w:val="InitialStyle"/>
        </w:rPr>
        <w:t>’</w:t>
      </w:r>
      <w:r w:rsidRPr="00BE1EBA">
        <w:rPr>
          <w:rStyle w:val="InitialStyle"/>
        </w:rPr>
        <w:t>une table de réunion, un support ou un panneau de fond comprend des ouvertures pour le chemin de câbles, des passe</w:t>
      </w:r>
      <w:r w:rsidR="003262E1" w:rsidRPr="00BE1EBA">
        <w:rPr>
          <w:rStyle w:val="InitialStyle"/>
        </w:rPr>
        <w:t>­</w:t>
      </w:r>
      <w:r w:rsidRPr="00BE1EBA">
        <w:rPr>
          <w:rStyle w:val="InitialStyle"/>
        </w:rPr>
        <w:t>câbles doivent être fournis. Des couvercles réutilisables doivent être fournis pour masquer les ouvertures lorsque les passe</w:t>
      </w:r>
      <w:r w:rsidR="003262E1" w:rsidRPr="00BE1EBA">
        <w:rPr>
          <w:rStyle w:val="InitialStyle"/>
        </w:rPr>
        <w:t>­</w:t>
      </w:r>
      <w:r w:rsidRPr="00BE1EBA">
        <w:rPr>
          <w:rStyle w:val="InitialStyle"/>
        </w:rPr>
        <w:t>câbles ne sont pas utilisés.</w:t>
      </w:r>
    </w:p>
    <w:p w:rsidR="00D07F21" w:rsidRPr="00BE1EBA" w:rsidRDefault="00D07F21" w:rsidP="00E35B27">
      <w:pPr>
        <w:tabs>
          <w:tab w:val="left" w:pos="709"/>
        </w:tabs>
        <w:ind w:left="1134" w:hanging="567"/>
        <w:rPr>
          <w:rStyle w:val="InitialStyle"/>
        </w:rPr>
      </w:pPr>
      <w:r w:rsidRPr="00BE1EBA">
        <w:rPr>
          <w:rStyle w:val="InitialStyle"/>
        </w:rPr>
        <w:t>5.3.1</w:t>
      </w:r>
      <w:r w:rsidRPr="00BE1EBA">
        <w:tab/>
      </w:r>
      <w:r w:rsidRPr="00BE1EBA">
        <w:rPr>
          <w:rStyle w:val="InitialStyle"/>
        </w:rPr>
        <w:t>Si un passe</w:t>
      </w:r>
      <w:r w:rsidR="003262E1" w:rsidRPr="00BE1EBA">
        <w:rPr>
          <w:rStyle w:val="InitialStyle"/>
        </w:rPr>
        <w:t>­</w:t>
      </w:r>
      <w:r w:rsidRPr="00BE1EBA">
        <w:rPr>
          <w:rStyle w:val="InitialStyle"/>
        </w:rPr>
        <w:t>câbles est utilisé, toutes les surfaces de travail d</w:t>
      </w:r>
      <w:r w:rsidR="00812400" w:rsidRPr="00BE1EBA">
        <w:rPr>
          <w:rStyle w:val="InitialStyle"/>
        </w:rPr>
        <w:t>’</w:t>
      </w:r>
      <w:r w:rsidRPr="00BE1EBA">
        <w:rPr>
          <w:rStyle w:val="InitialStyle"/>
        </w:rPr>
        <w:t>une largeur égale ou inférieure à 1219 mm (48 po) doivent comporter un passe</w:t>
      </w:r>
      <w:r w:rsidR="003262E1" w:rsidRPr="00BE1EBA">
        <w:rPr>
          <w:rStyle w:val="InitialStyle"/>
        </w:rPr>
        <w:t>­</w:t>
      </w:r>
      <w:r w:rsidRPr="00BE1EBA">
        <w:rPr>
          <w:rStyle w:val="InitialStyle"/>
        </w:rPr>
        <w:t>câbles intégré. Toutes les surfaces de travail d</w:t>
      </w:r>
      <w:r w:rsidR="00812400" w:rsidRPr="00BE1EBA">
        <w:rPr>
          <w:rStyle w:val="InitialStyle"/>
        </w:rPr>
        <w:t>’</w:t>
      </w:r>
      <w:r w:rsidRPr="00BE1EBA">
        <w:rPr>
          <w:rStyle w:val="InitialStyle"/>
        </w:rPr>
        <w:t>une largeur supérieure à 1219 mm (48 po) doivent comporter deux passe</w:t>
      </w:r>
      <w:r w:rsidR="003262E1" w:rsidRPr="00BE1EBA">
        <w:rPr>
          <w:rStyle w:val="InitialStyle"/>
        </w:rPr>
        <w:t>­</w:t>
      </w:r>
      <w:r w:rsidRPr="00BE1EBA">
        <w:rPr>
          <w:rStyle w:val="InitialStyle"/>
        </w:rPr>
        <w:t>câbles intégrés.</w:t>
      </w:r>
    </w:p>
    <w:p w:rsidR="00D07F21" w:rsidRPr="00BE1EBA" w:rsidRDefault="00D07F21" w:rsidP="00D07F21">
      <w:pPr>
        <w:pStyle w:val="DefaultText1"/>
        <w:keepNext/>
        <w:keepLines/>
        <w:shd w:val="clear" w:color="auto" w:fill="FFFFFF"/>
        <w:tabs>
          <w:tab w:val="left" w:pos="709"/>
        </w:tabs>
        <w:ind w:left="709" w:hanging="709"/>
        <w:rPr>
          <w:rStyle w:val="InitialStyle"/>
        </w:rPr>
      </w:pPr>
      <w:r w:rsidRPr="00BE1EBA">
        <w:rPr>
          <w:rStyle w:val="InitialStyle"/>
        </w:rPr>
        <w:lastRenderedPageBreak/>
        <w:t>Catégories 1, 3 et 4</w:t>
      </w:r>
    </w:p>
    <w:p w:rsidR="00D07F21" w:rsidRPr="00BE1EBA" w:rsidRDefault="00D07F21" w:rsidP="00E35B27">
      <w:pPr>
        <w:pStyle w:val="DefaultText1"/>
        <w:keepNext/>
        <w:keepLines/>
        <w:shd w:val="clear" w:color="auto" w:fill="FFFFFF"/>
        <w:tabs>
          <w:tab w:val="left" w:pos="567"/>
        </w:tabs>
        <w:ind w:left="567" w:hanging="567"/>
      </w:pPr>
      <w:r w:rsidRPr="00BE1EBA">
        <w:t>5.4</w:t>
      </w:r>
      <w:r w:rsidRPr="00BE1EBA">
        <w:tab/>
        <w:t>Des butoirs en matériau souple doivent être installés sur l</w:t>
      </w:r>
      <w:r w:rsidR="00812400" w:rsidRPr="00BE1EBA">
        <w:t>’</w:t>
      </w:r>
      <w:r w:rsidRPr="00BE1EBA">
        <w:t>ensemble des portes et des tiroirs pour amortir les bruits d</w:t>
      </w:r>
      <w:r w:rsidR="00812400" w:rsidRPr="00BE1EBA">
        <w:t>’</w:t>
      </w:r>
      <w:r w:rsidRPr="00BE1EBA">
        <w:t>ouverture et de fermeture en fin de course. D</w:t>
      </w:r>
      <w:r w:rsidR="00812400" w:rsidRPr="00BE1EBA">
        <w:t>’</w:t>
      </w:r>
      <w:r w:rsidRPr="00BE1EBA">
        <w:t>autres moyens de réduire le bruit d</w:t>
      </w:r>
      <w:r w:rsidR="00812400" w:rsidRPr="00BE1EBA">
        <w:t>’</w:t>
      </w:r>
      <w:r w:rsidRPr="00BE1EBA">
        <w:t>impact peuvent être acceptés.</w:t>
      </w:r>
    </w:p>
    <w:p w:rsidR="00D07F21" w:rsidRPr="00BE1EBA" w:rsidRDefault="00D07F21" w:rsidP="00E35B27">
      <w:pPr>
        <w:tabs>
          <w:tab w:val="left" w:pos="567"/>
        </w:tabs>
        <w:ind w:left="567" w:hanging="567"/>
        <w:rPr>
          <w:szCs w:val="20"/>
        </w:rPr>
      </w:pPr>
      <w:r w:rsidRPr="00BE1EBA">
        <w:t>5.5</w:t>
      </w:r>
      <w:r w:rsidRPr="00BE1EBA">
        <w:tab/>
        <w:t>Les tiroirs et les portes doivent tous se verrouiller.</w:t>
      </w:r>
    </w:p>
    <w:p w:rsidR="00D07F21" w:rsidRPr="00BE1EBA" w:rsidRDefault="00D07F21" w:rsidP="00E35B27">
      <w:pPr>
        <w:tabs>
          <w:tab w:val="left" w:pos="709"/>
          <w:tab w:val="left" w:pos="1134"/>
        </w:tabs>
        <w:ind w:left="1134" w:hanging="567"/>
        <w:rPr>
          <w:szCs w:val="20"/>
        </w:rPr>
      </w:pPr>
      <w:r w:rsidRPr="00BE1EBA">
        <w:t>5.5.1</w:t>
      </w:r>
      <w:r w:rsidRPr="00BE1EBA">
        <w:tab/>
        <w:t>Toutes les serrures des éléments d</w:t>
      </w:r>
      <w:r w:rsidR="00812400" w:rsidRPr="00BE1EBA">
        <w:t>’</w:t>
      </w:r>
      <w:r w:rsidRPr="00BE1EBA">
        <w:t>un poste de travail doivent s</w:t>
      </w:r>
      <w:r w:rsidR="00812400" w:rsidRPr="00BE1EBA">
        <w:t>’</w:t>
      </w:r>
      <w:r w:rsidRPr="00BE1EBA">
        <w:t>ouvrir avec la même clé.</w:t>
      </w:r>
    </w:p>
    <w:p w:rsidR="00D07F21" w:rsidRPr="00BE1EBA" w:rsidRDefault="00D07F21" w:rsidP="00643669">
      <w:pPr>
        <w:tabs>
          <w:tab w:val="left" w:pos="709"/>
          <w:tab w:val="left" w:pos="1134"/>
        </w:tabs>
        <w:ind w:left="1134" w:hanging="567"/>
        <w:rPr>
          <w:szCs w:val="20"/>
        </w:rPr>
      </w:pPr>
      <w:r w:rsidRPr="00BE1EBA">
        <w:t>5.5.2</w:t>
      </w:r>
      <w:r w:rsidRPr="00BE1EBA">
        <w:tab/>
        <w:t>Au moins quatre (4) clés doivent être fournies par poste de travail.</w:t>
      </w:r>
    </w:p>
    <w:p w:rsidR="00D07F21" w:rsidRPr="00BE1EBA" w:rsidRDefault="00D07F21" w:rsidP="00D07F21">
      <w:pPr>
        <w:pStyle w:val="DefaultText1"/>
        <w:shd w:val="clear" w:color="auto" w:fill="FFFFFF"/>
        <w:tabs>
          <w:tab w:val="left" w:pos="709"/>
        </w:tabs>
        <w:ind w:left="709" w:hanging="709"/>
      </w:pPr>
      <w:r w:rsidRPr="00BE1EBA">
        <w:t>Catégories 1, 2 et 4</w:t>
      </w:r>
    </w:p>
    <w:p w:rsidR="00D07F21" w:rsidRPr="00BE1EBA" w:rsidRDefault="00D07F21" w:rsidP="00E35B27">
      <w:pPr>
        <w:tabs>
          <w:tab w:val="left" w:pos="567"/>
        </w:tabs>
        <w:ind w:left="567" w:hanging="567"/>
        <w:rPr>
          <w:rStyle w:val="InitialStyle"/>
        </w:rPr>
      </w:pPr>
      <w:r w:rsidRPr="00BE1EBA">
        <w:rPr>
          <w:rStyle w:val="InitialStyle"/>
        </w:rPr>
        <w:t>5.6</w:t>
      </w:r>
      <w:r w:rsidRPr="00BE1EBA">
        <w:tab/>
      </w:r>
      <w:r w:rsidRPr="00BE1EBA">
        <w:rPr>
          <w:rStyle w:val="InitialStyle"/>
        </w:rPr>
        <w:t>Toutes les surfaces de travail et les surfaces des tables de réunion avec câbles électriques et câbles de données doivent être dotées de systèmes d</w:t>
      </w:r>
      <w:r w:rsidR="00812400" w:rsidRPr="00BE1EBA">
        <w:rPr>
          <w:rStyle w:val="InitialStyle"/>
        </w:rPr>
        <w:t>’</w:t>
      </w:r>
      <w:r w:rsidRPr="00BE1EBA">
        <w:rPr>
          <w:rStyle w:val="InitialStyle"/>
        </w:rPr>
        <w:t>acheminement des câbles pour acheminer et dissimuler les câbles.</w:t>
      </w:r>
    </w:p>
    <w:p w:rsidR="00D07F21" w:rsidRPr="00BE1EBA" w:rsidRDefault="00D07F21" w:rsidP="00E35B27">
      <w:pPr>
        <w:tabs>
          <w:tab w:val="left" w:pos="709"/>
        </w:tabs>
        <w:ind w:left="1134" w:hanging="567"/>
        <w:rPr>
          <w:rStyle w:val="InitialStyle"/>
        </w:rPr>
      </w:pPr>
      <w:r w:rsidRPr="00BE1EBA">
        <w:rPr>
          <w:rStyle w:val="InitialStyle"/>
        </w:rPr>
        <w:t>5.6.1</w:t>
      </w:r>
      <w:r w:rsidRPr="00BE1EBA">
        <w:tab/>
      </w:r>
      <w:r w:rsidRPr="00BE1EBA">
        <w:rPr>
          <w:rStyle w:val="InitialStyle"/>
        </w:rPr>
        <w:t>Il peut s</w:t>
      </w:r>
      <w:r w:rsidR="00812400" w:rsidRPr="00BE1EBA">
        <w:rPr>
          <w:rStyle w:val="InitialStyle"/>
        </w:rPr>
        <w:t>’</w:t>
      </w:r>
      <w:r w:rsidRPr="00BE1EBA">
        <w:rPr>
          <w:rStyle w:val="InitialStyle"/>
        </w:rPr>
        <w:t>agir de passe</w:t>
      </w:r>
      <w:r w:rsidR="003262E1" w:rsidRPr="00BE1EBA">
        <w:rPr>
          <w:rStyle w:val="InitialStyle"/>
        </w:rPr>
        <w:t>­</w:t>
      </w:r>
      <w:r w:rsidRPr="00BE1EBA">
        <w:rPr>
          <w:rStyle w:val="InitialStyle"/>
        </w:rPr>
        <w:t>câbles ou d</w:t>
      </w:r>
      <w:r w:rsidR="00812400" w:rsidRPr="00BE1EBA">
        <w:rPr>
          <w:rStyle w:val="InitialStyle"/>
        </w:rPr>
        <w:t>’</w:t>
      </w:r>
      <w:r w:rsidRPr="00BE1EBA">
        <w:rPr>
          <w:rStyle w:val="InitialStyle"/>
        </w:rPr>
        <w:t>espaces à l</w:t>
      </w:r>
      <w:r w:rsidR="00812400" w:rsidRPr="00BE1EBA">
        <w:rPr>
          <w:rStyle w:val="InitialStyle"/>
        </w:rPr>
        <w:t>’</w:t>
      </w:r>
      <w:r w:rsidRPr="00BE1EBA">
        <w:rPr>
          <w:rStyle w:val="InitialStyle"/>
        </w:rPr>
        <w:t>intersection de la surface de travail et d</w:t>
      </w:r>
      <w:r w:rsidR="00812400" w:rsidRPr="00BE1EBA">
        <w:rPr>
          <w:rStyle w:val="InitialStyle"/>
        </w:rPr>
        <w:t>’</w:t>
      </w:r>
      <w:r w:rsidRPr="00BE1EBA">
        <w:rPr>
          <w:rStyle w:val="InitialStyle"/>
        </w:rPr>
        <w:t xml:space="preserve">un plan perpendiculaire comme une cloison ou un élément de rangement supérieur, lorsque prescrit. </w:t>
      </w:r>
    </w:p>
    <w:p w:rsidR="00D07F21" w:rsidRPr="00BE1EBA" w:rsidRDefault="00D07F21" w:rsidP="00E35B27">
      <w:pPr>
        <w:tabs>
          <w:tab w:val="left" w:pos="709"/>
        </w:tabs>
        <w:ind w:left="1134" w:hanging="567"/>
        <w:rPr>
          <w:rStyle w:val="InitialStyle"/>
        </w:rPr>
      </w:pPr>
      <w:r w:rsidRPr="00BE1EBA">
        <w:t>5.6.2</w:t>
      </w:r>
      <w:r w:rsidRPr="00BE1EBA">
        <w:tab/>
        <w:t>La méthode utilisée pour acheminer les fils et les câbles doit faire en sorte que la façade d</w:t>
      </w:r>
      <w:r w:rsidR="00812400" w:rsidRPr="00BE1EBA">
        <w:t>’</w:t>
      </w:r>
      <w:r w:rsidRPr="00BE1EBA">
        <w:t>un caisson, placé sous la surface de travail, ne fasse pas saillie par rapport à cette dernière</w:t>
      </w:r>
      <w:r w:rsidRPr="00BE1EBA">
        <w:rPr>
          <w:rStyle w:val="InitialStyle"/>
        </w:rPr>
        <w:t>.</w:t>
      </w:r>
    </w:p>
    <w:p w:rsidR="00D07F21" w:rsidRPr="00BE1EBA" w:rsidRDefault="00D07F21" w:rsidP="00E35B27">
      <w:pPr>
        <w:tabs>
          <w:tab w:val="left" w:pos="709"/>
        </w:tabs>
        <w:ind w:left="1134" w:hanging="567"/>
        <w:rPr>
          <w:rStyle w:val="InitialStyle"/>
        </w:rPr>
      </w:pPr>
      <w:r w:rsidRPr="00BE1EBA">
        <w:rPr>
          <w:rStyle w:val="InitialStyle"/>
        </w:rPr>
        <w:t>5.6.3</w:t>
      </w:r>
      <w:r w:rsidRPr="00BE1EBA">
        <w:tab/>
      </w:r>
      <w:r w:rsidRPr="00BE1EBA">
        <w:rPr>
          <w:rStyle w:val="InitialStyle"/>
        </w:rPr>
        <w:t>Lorsque les passe</w:t>
      </w:r>
      <w:r w:rsidR="003262E1" w:rsidRPr="00BE1EBA">
        <w:rPr>
          <w:rStyle w:val="InitialStyle"/>
        </w:rPr>
        <w:t>­</w:t>
      </w:r>
      <w:r w:rsidRPr="00BE1EBA">
        <w:rPr>
          <w:rStyle w:val="InitialStyle"/>
        </w:rPr>
        <w:t>câbles se trouvent au</w:t>
      </w:r>
      <w:r w:rsidR="003262E1" w:rsidRPr="00BE1EBA">
        <w:rPr>
          <w:rStyle w:val="InitialStyle"/>
        </w:rPr>
        <w:t>­</w:t>
      </w:r>
      <w:r w:rsidRPr="00BE1EBA">
        <w:rPr>
          <w:rStyle w:val="InitialStyle"/>
        </w:rPr>
        <w:t>dessus d</w:t>
      </w:r>
      <w:r w:rsidR="00812400" w:rsidRPr="00BE1EBA">
        <w:rPr>
          <w:rStyle w:val="InitialStyle"/>
        </w:rPr>
        <w:t>’</w:t>
      </w:r>
      <w:r w:rsidRPr="00BE1EBA">
        <w:rPr>
          <w:rStyle w:val="InitialStyle"/>
        </w:rPr>
        <w:t>un caisson supportant une surface de travail, les fils ne doivent pas nuire au fonctionnement des tiroirs.</w:t>
      </w:r>
    </w:p>
    <w:p w:rsidR="00D07F21" w:rsidRPr="00BE1EBA" w:rsidRDefault="00D07F21" w:rsidP="00D07F21">
      <w:pPr>
        <w:pStyle w:val="DefaultText1"/>
        <w:shd w:val="clear" w:color="auto" w:fill="FFFFFF"/>
        <w:tabs>
          <w:tab w:val="left" w:pos="709"/>
        </w:tabs>
        <w:ind w:left="709" w:hanging="709"/>
      </w:pPr>
      <w:r w:rsidRPr="00BE1EBA">
        <w:rPr>
          <w:rStyle w:val="InitialStyle"/>
        </w:rPr>
        <w:t>Catégories 3 et 5</w:t>
      </w:r>
    </w:p>
    <w:p w:rsidR="00D07F21" w:rsidRPr="00BE1EBA" w:rsidRDefault="00D07F21" w:rsidP="00984A68">
      <w:pPr>
        <w:pStyle w:val="PlainText"/>
        <w:tabs>
          <w:tab w:val="left" w:pos="567"/>
        </w:tabs>
        <w:ind w:left="567" w:hanging="567"/>
        <w:rPr>
          <w:rFonts w:ascii="Arial" w:hAnsi="Arial"/>
          <w:sz w:val="20"/>
          <w:szCs w:val="20"/>
        </w:rPr>
      </w:pPr>
      <w:r w:rsidRPr="00BE1EBA">
        <w:rPr>
          <w:rFonts w:ascii="Arial" w:hAnsi="Arial"/>
          <w:sz w:val="20"/>
        </w:rPr>
        <w:t>5.7</w:t>
      </w:r>
      <w:r w:rsidRPr="00BE1EBA">
        <w:tab/>
      </w:r>
      <w:r w:rsidRPr="00BE1EBA">
        <w:rPr>
          <w:rFonts w:ascii="Arial" w:hAnsi="Arial"/>
          <w:sz w:val="20"/>
        </w:rPr>
        <w:t>Qualité d</w:t>
      </w:r>
      <w:r w:rsidR="00812400" w:rsidRPr="00BE1EBA">
        <w:rPr>
          <w:rFonts w:ascii="Arial" w:hAnsi="Arial"/>
          <w:sz w:val="20"/>
        </w:rPr>
        <w:t>’</w:t>
      </w:r>
      <w:r w:rsidRPr="00BE1EBA">
        <w:rPr>
          <w:rFonts w:ascii="Arial" w:hAnsi="Arial"/>
          <w:sz w:val="20"/>
        </w:rPr>
        <w:t>exécution : Les produits finis doivent être uniformes sur les plans de la qualité, du style, du matériau et de la qualité d</w:t>
      </w:r>
      <w:r w:rsidR="00812400" w:rsidRPr="00BE1EBA">
        <w:rPr>
          <w:rFonts w:ascii="Arial" w:hAnsi="Arial"/>
          <w:sz w:val="20"/>
        </w:rPr>
        <w:t>’</w:t>
      </w:r>
      <w:r w:rsidRPr="00BE1EBA">
        <w:rPr>
          <w:rFonts w:ascii="Arial" w:hAnsi="Arial"/>
          <w:sz w:val="20"/>
        </w:rPr>
        <w:t>exécution et ils doivent être propres et exempts de tout défaut pouvant nuire à leur aspect, à leur tenue en service et à leur sécurité.</w:t>
      </w:r>
    </w:p>
    <w:p w:rsidR="00D07F21" w:rsidRPr="00BE1EBA" w:rsidRDefault="00D07F21" w:rsidP="00984A68">
      <w:pPr>
        <w:pStyle w:val="PlainText"/>
        <w:tabs>
          <w:tab w:val="left" w:pos="567"/>
          <w:tab w:val="left" w:pos="1134"/>
        </w:tabs>
        <w:ind w:left="1134" w:hanging="1134"/>
        <w:rPr>
          <w:rFonts w:ascii="Arial" w:hAnsi="Arial"/>
          <w:sz w:val="20"/>
          <w:szCs w:val="20"/>
        </w:rPr>
      </w:pPr>
      <w:r w:rsidRPr="00BE1EBA">
        <w:tab/>
      </w:r>
      <w:r w:rsidRPr="00BE1EBA">
        <w:rPr>
          <w:rFonts w:ascii="Arial" w:hAnsi="Arial"/>
          <w:sz w:val="20"/>
        </w:rPr>
        <w:t>5.7.1</w:t>
      </w:r>
      <w:r w:rsidRPr="00BE1EBA">
        <w:tab/>
      </w:r>
      <w:r w:rsidRPr="00BE1EBA">
        <w:rPr>
          <w:rFonts w:ascii="Arial" w:hAnsi="Arial"/>
          <w:sz w:val="20"/>
        </w:rPr>
        <w:t>Tous les bords et angles que l</w:t>
      </w:r>
      <w:r w:rsidR="00812400" w:rsidRPr="00BE1EBA">
        <w:rPr>
          <w:rFonts w:ascii="Arial" w:hAnsi="Arial"/>
          <w:sz w:val="20"/>
        </w:rPr>
        <w:t>’</w:t>
      </w:r>
      <w:r w:rsidRPr="00BE1EBA">
        <w:rPr>
          <w:rFonts w:ascii="Arial" w:hAnsi="Arial"/>
          <w:sz w:val="20"/>
        </w:rPr>
        <w:t xml:space="preserve">utilisateur pourrait toucher doivent être adoucis ou arrondis. </w:t>
      </w:r>
    </w:p>
    <w:p w:rsidR="00D07F21" w:rsidRPr="00BE1EBA" w:rsidRDefault="00D07F21" w:rsidP="00984A68">
      <w:pPr>
        <w:pStyle w:val="PlainText"/>
        <w:tabs>
          <w:tab w:val="left" w:pos="567"/>
          <w:tab w:val="left" w:pos="1134"/>
        </w:tabs>
        <w:ind w:left="1134" w:hanging="1134"/>
        <w:rPr>
          <w:rFonts w:ascii="Arial" w:hAnsi="Arial"/>
          <w:sz w:val="20"/>
          <w:szCs w:val="20"/>
        </w:rPr>
      </w:pPr>
      <w:r w:rsidRPr="00BE1EBA">
        <w:tab/>
      </w:r>
      <w:r w:rsidRPr="00BE1EBA">
        <w:rPr>
          <w:rFonts w:ascii="Arial" w:hAnsi="Arial"/>
          <w:sz w:val="20"/>
        </w:rPr>
        <w:t>5.7.2</w:t>
      </w:r>
      <w:r w:rsidRPr="00BE1EBA">
        <w:tab/>
      </w:r>
      <w:r w:rsidRPr="00BE1EBA">
        <w:rPr>
          <w:rFonts w:ascii="Arial" w:hAnsi="Arial"/>
          <w:sz w:val="20"/>
        </w:rPr>
        <w:t>Les portes et les tiroirs doivent s</w:t>
      </w:r>
      <w:r w:rsidR="00812400" w:rsidRPr="00BE1EBA">
        <w:rPr>
          <w:rFonts w:ascii="Arial" w:hAnsi="Arial"/>
          <w:sz w:val="20"/>
        </w:rPr>
        <w:t>’</w:t>
      </w:r>
      <w:r w:rsidRPr="00BE1EBA">
        <w:rPr>
          <w:rFonts w:ascii="Arial" w:hAnsi="Arial"/>
          <w:sz w:val="20"/>
        </w:rPr>
        <w:t>emboîter parfaitement et uniformément dans les ouvertures sur tous les côtés.</w:t>
      </w:r>
    </w:p>
    <w:p w:rsidR="00D07F21" w:rsidRPr="00BE1EBA" w:rsidRDefault="00D07F21" w:rsidP="00984A68">
      <w:pPr>
        <w:pStyle w:val="PlainText"/>
        <w:tabs>
          <w:tab w:val="left" w:pos="567"/>
          <w:tab w:val="left" w:pos="1134"/>
        </w:tabs>
        <w:ind w:left="1134" w:hanging="1134"/>
        <w:rPr>
          <w:rFonts w:ascii="Arial" w:hAnsi="Arial"/>
          <w:sz w:val="20"/>
          <w:szCs w:val="20"/>
        </w:rPr>
      </w:pPr>
      <w:r w:rsidRPr="00BE1EBA">
        <w:tab/>
      </w:r>
      <w:r w:rsidRPr="00BE1EBA">
        <w:rPr>
          <w:rFonts w:ascii="Arial" w:hAnsi="Arial"/>
          <w:sz w:val="20"/>
        </w:rPr>
        <w:t>5.7.3</w:t>
      </w:r>
      <w:r w:rsidRPr="00BE1EBA">
        <w:tab/>
      </w:r>
      <w:r w:rsidRPr="00BE1EBA">
        <w:rPr>
          <w:rFonts w:ascii="Arial" w:hAnsi="Arial"/>
          <w:sz w:val="20"/>
        </w:rPr>
        <w:t>Soudures : Toutes les soudures doivent être solides, exemptes de fissures et de vides superficiels. Elles doivent être propres, lisses et uniformes, et être exemptes de calamines, de flux, de corps étrangers ou de toute autre inclusion pouvant nuire à l</w:t>
      </w:r>
      <w:r w:rsidR="00812400" w:rsidRPr="00BE1EBA">
        <w:rPr>
          <w:rFonts w:ascii="Arial" w:hAnsi="Arial"/>
          <w:sz w:val="20"/>
        </w:rPr>
        <w:t>’</w:t>
      </w:r>
      <w:r w:rsidRPr="00BE1EBA">
        <w:rPr>
          <w:rFonts w:ascii="Arial" w:hAnsi="Arial"/>
          <w:sz w:val="20"/>
        </w:rPr>
        <w:t>application de l</w:t>
      </w:r>
      <w:r w:rsidR="00812400" w:rsidRPr="00BE1EBA">
        <w:rPr>
          <w:rFonts w:ascii="Arial" w:hAnsi="Arial"/>
          <w:sz w:val="20"/>
        </w:rPr>
        <w:t>’</w:t>
      </w:r>
      <w:r w:rsidRPr="00BE1EBA">
        <w:rPr>
          <w:rFonts w:ascii="Arial" w:hAnsi="Arial"/>
          <w:sz w:val="20"/>
        </w:rPr>
        <w:t>apprêt ou du produit de finition.</w:t>
      </w:r>
    </w:p>
    <w:p w:rsidR="00D07F21" w:rsidRPr="00BE1EBA" w:rsidRDefault="00D07F21" w:rsidP="00984A68">
      <w:pPr>
        <w:tabs>
          <w:tab w:val="left" w:pos="567"/>
          <w:tab w:val="left" w:pos="1134"/>
        </w:tabs>
        <w:ind w:left="1134" w:hanging="1134"/>
        <w:rPr>
          <w:szCs w:val="20"/>
        </w:rPr>
      </w:pPr>
      <w:r w:rsidRPr="00BE1EBA">
        <w:tab/>
      </w:r>
      <w:r w:rsidRPr="00BE1EBA">
        <w:rPr>
          <w:rStyle w:val="InitialStyle"/>
        </w:rPr>
        <w:t>5.7.4</w:t>
      </w:r>
      <w:r w:rsidRPr="00BE1EBA">
        <w:tab/>
        <w:t>Fini : Tous les composants en aluminium exposés doivent être anodisés, peints ou autrement traités afin d</w:t>
      </w:r>
      <w:r w:rsidR="00812400" w:rsidRPr="00BE1EBA">
        <w:t>’</w:t>
      </w:r>
      <w:r w:rsidRPr="00BE1EBA">
        <w:t>empêcher l</w:t>
      </w:r>
      <w:r w:rsidR="00812400" w:rsidRPr="00BE1EBA">
        <w:t>’</w:t>
      </w:r>
      <w:r w:rsidRPr="00BE1EBA">
        <w:t>oxydation.</w:t>
      </w:r>
    </w:p>
    <w:p w:rsidR="00D07F21" w:rsidRPr="00BE1EBA" w:rsidRDefault="00D07F21" w:rsidP="00984A68">
      <w:pPr>
        <w:tabs>
          <w:tab w:val="left" w:pos="567"/>
          <w:tab w:val="left" w:pos="1134"/>
        </w:tabs>
        <w:ind w:left="1134" w:hanging="1134"/>
        <w:rPr>
          <w:szCs w:val="20"/>
        </w:rPr>
      </w:pPr>
      <w:r w:rsidRPr="00BE1EBA">
        <w:tab/>
        <w:t>5.7.5</w:t>
      </w:r>
      <w:r w:rsidRPr="00BE1EBA">
        <w:tab/>
      </w:r>
      <w:r w:rsidRPr="00BE1EBA">
        <w:rPr>
          <w:color w:val="000000" w:themeColor="text1"/>
        </w:rPr>
        <w:t>Sécurité : Les pièces fixes, amovibles ou réglables doivent être construites de façon à ne pas se desserrer, s</w:t>
      </w:r>
      <w:r w:rsidR="00812400" w:rsidRPr="00BE1EBA">
        <w:rPr>
          <w:color w:val="000000" w:themeColor="text1"/>
        </w:rPr>
        <w:t>’</w:t>
      </w:r>
      <w:r w:rsidRPr="00BE1EBA">
        <w:rPr>
          <w:color w:val="000000" w:themeColor="text1"/>
        </w:rPr>
        <w:t>enlever accidentellement ni causer de blessures</w:t>
      </w:r>
      <w:r w:rsidRPr="00BE1EBA">
        <w:t>.</w:t>
      </w:r>
    </w:p>
    <w:p w:rsidR="00D07F21" w:rsidRPr="00BE1EBA" w:rsidRDefault="00D07F21" w:rsidP="00984A68">
      <w:pPr>
        <w:tabs>
          <w:tab w:val="left" w:pos="567"/>
          <w:tab w:val="left" w:pos="1134"/>
        </w:tabs>
        <w:ind w:left="1134" w:hanging="1134"/>
        <w:rPr>
          <w:szCs w:val="20"/>
        </w:rPr>
      </w:pPr>
      <w:r w:rsidRPr="00BE1EBA">
        <w:tab/>
        <w:t>5.7.6</w:t>
      </w:r>
      <w:r w:rsidRPr="00BE1EBA">
        <w:tab/>
        <w:t>Le support pour clavier et souris ne doit pas nuire au dégagement pour les jambes.</w:t>
      </w:r>
    </w:p>
    <w:p w:rsidR="00D07F21" w:rsidRPr="00BE1EBA" w:rsidRDefault="00D07F21" w:rsidP="00984A68">
      <w:pPr>
        <w:tabs>
          <w:tab w:val="left" w:pos="567"/>
          <w:tab w:val="left" w:pos="1134"/>
        </w:tabs>
        <w:ind w:left="1134" w:hanging="1134"/>
        <w:rPr>
          <w:szCs w:val="20"/>
        </w:rPr>
      </w:pPr>
      <w:r w:rsidRPr="00BE1EBA">
        <w:tab/>
        <w:t>5.7.7</w:t>
      </w:r>
      <w:r w:rsidRPr="00BE1EBA">
        <w:tab/>
        <w:t>L</w:t>
      </w:r>
      <w:r w:rsidR="00812400" w:rsidRPr="00BE1EBA">
        <w:t>’</w:t>
      </w:r>
      <w:r w:rsidRPr="00BE1EBA">
        <w:t>emplacement du dessus du support pour clavier et souris (en particulier, la rangée d</w:t>
      </w:r>
      <w:r w:rsidR="00812400" w:rsidRPr="00BE1EBA">
        <w:t>’</w:t>
      </w:r>
      <w:r w:rsidRPr="00BE1EBA">
        <w:t>appui du clavier) doit permettre à l</w:t>
      </w:r>
      <w:r w:rsidR="00812400" w:rsidRPr="00BE1EBA">
        <w:t>’</w:t>
      </w:r>
      <w:r w:rsidRPr="00BE1EBA">
        <w:t>utilisateur de garder les épaules, les coudes et les poignets dans la posture naturelle du corps.</w:t>
      </w:r>
    </w:p>
    <w:p w:rsidR="00D07F21" w:rsidRPr="00BE1EBA" w:rsidRDefault="00D07F21" w:rsidP="00D542F8">
      <w:pPr>
        <w:pStyle w:val="Style1"/>
        <w:tabs>
          <w:tab w:val="left" w:pos="709"/>
        </w:tabs>
        <w:spacing w:before="0" w:beforeAutospacing="0" w:after="0" w:afterAutospacing="0"/>
        <w:ind w:left="706" w:hanging="706"/>
        <w:rPr>
          <w:b/>
        </w:rPr>
      </w:pPr>
    </w:p>
    <w:p w:rsidR="00D07F21" w:rsidRPr="00BE1EBA" w:rsidRDefault="00D07F21" w:rsidP="00D07F21">
      <w:pPr>
        <w:pStyle w:val="DefaultText1"/>
        <w:keepNext/>
        <w:keepLines/>
        <w:shd w:val="clear" w:color="auto" w:fill="FFFFFF"/>
        <w:tabs>
          <w:tab w:val="left" w:pos="709"/>
        </w:tabs>
        <w:ind w:left="709" w:hanging="709"/>
      </w:pPr>
      <w:r w:rsidRPr="00BE1EBA">
        <w:lastRenderedPageBreak/>
        <w:t>Catégorie 4</w:t>
      </w:r>
    </w:p>
    <w:p w:rsidR="00D07F21" w:rsidRPr="00BE1EBA" w:rsidRDefault="00D07F21" w:rsidP="00BB1DE2">
      <w:pPr>
        <w:keepNext/>
        <w:keepLines/>
        <w:tabs>
          <w:tab w:val="left" w:pos="567"/>
        </w:tabs>
        <w:ind w:left="567" w:hanging="567"/>
        <w:rPr>
          <w:rStyle w:val="InitialStyle"/>
        </w:rPr>
      </w:pPr>
      <w:r w:rsidRPr="00BE1EBA">
        <w:t>5.8</w:t>
      </w:r>
      <w:r w:rsidRPr="00BE1EBA">
        <w:tab/>
      </w:r>
      <w:r w:rsidRPr="00BE1EBA">
        <w:rPr>
          <w:rStyle w:val="InitialStyle"/>
        </w:rPr>
        <w:t>Qualité d</w:t>
      </w:r>
      <w:r w:rsidR="00812400" w:rsidRPr="00BE1EBA">
        <w:rPr>
          <w:rStyle w:val="InitialStyle"/>
        </w:rPr>
        <w:t>’</w:t>
      </w:r>
      <w:r w:rsidRPr="00BE1EBA">
        <w:rPr>
          <w:rStyle w:val="InitialStyle"/>
        </w:rPr>
        <w:t>exécution : Les surfaces et les rives en bois massif ou en placage de bois doivent être poncées finement et exemptes d</w:t>
      </w:r>
      <w:r w:rsidR="00812400" w:rsidRPr="00BE1EBA">
        <w:rPr>
          <w:rStyle w:val="InitialStyle"/>
        </w:rPr>
        <w:t>’</w:t>
      </w:r>
      <w:r w:rsidRPr="00BE1EBA">
        <w:rPr>
          <w:rStyle w:val="InitialStyle"/>
        </w:rPr>
        <w:t>imperfections et de défauts comme des marques d</w:t>
      </w:r>
      <w:r w:rsidR="00812400" w:rsidRPr="00BE1EBA">
        <w:rPr>
          <w:rStyle w:val="InitialStyle"/>
        </w:rPr>
        <w:t>’</w:t>
      </w:r>
      <w:r w:rsidRPr="00BE1EBA">
        <w:rPr>
          <w:rStyle w:val="InitialStyle"/>
        </w:rPr>
        <w:t>outil ou de machine, des marques de ponçage, des traces de colle, de fil soulevé et de délaminage ou des marques causées par l</w:t>
      </w:r>
      <w:r w:rsidR="00812400" w:rsidRPr="00BE1EBA">
        <w:rPr>
          <w:rStyle w:val="InitialStyle"/>
        </w:rPr>
        <w:t>’</w:t>
      </w:r>
      <w:r w:rsidRPr="00BE1EBA">
        <w:rPr>
          <w:rStyle w:val="InitialStyle"/>
        </w:rPr>
        <w:t>eau.</w:t>
      </w:r>
    </w:p>
    <w:p w:rsidR="00D07F21" w:rsidRPr="00BE1EBA" w:rsidRDefault="00D07F21" w:rsidP="00BB1DE2">
      <w:pPr>
        <w:pStyle w:val="DefaultText"/>
        <w:keepNext/>
        <w:keepLines/>
        <w:tabs>
          <w:tab w:val="left" w:pos="1134"/>
        </w:tabs>
        <w:ind w:left="1134" w:hanging="567"/>
        <w:rPr>
          <w:rStyle w:val="InitialStyle"/>
        </w:rPr>
      </w:pPr>
      <w:r w:rsidRPr="00BE1EBA">
        <w:rPr>
          <w:rStyle w:val="InitialStyle"/>
        </w:rPr>
        <w:t>5.8.1 Les placages des surfaces doivent être assemblés avec des joints serrés et être adéquatement appareillés. Le motif du fil ou la couleur doivent être uniformes sur toute la surface. Les caractéristiques naturelles du bois et du placage seront acceptées.</w:t>
      </w:r>
    </w:p>
    <w:p w:rsidR="00D07F21" w:rsidRPr="00BE1EBA" w:rsidRDefault="00D07F21" w:rsidP="00D07F21">
      <w:pPr>
        <w:pStyle w:val="DefaultText"/>
        <w:ind w:left="720" w:hanging="720"/>
      </w:pPr>
      <w:r w:rsidRPr="00BE1EBA">
        <w:t>Catégories 1, 3 et 4</w:t>
      </w:r>
    </w:p>
    <w:p w:rsidR="00D07F21" w:rsidRPr="00BE1EBA" w:rsidRDefault="00D07F21" w:rsidP="00984A68">
      <w:pPr>
        <w:ind w:left="567" w:hanging="567"/>
        <w:rPr>
          <w:szCs w:val="20"/>
        </w:rPr>
      </w:pPr>
      <w:r w:rsidRPr="00BE1EBA">
        <w:t>5.9</w:t>
      </w:r>
      <w:r w:rsidRPr="00BE1EBA">
        <w:tab/>
        <w:t>Coussins : Les coussins doivent être rembourrés sur le dessus et le dessous et ne doivent pas glisser de la surface. Ils doivent pouvoir être enlevés, sauf dans le cas des caissons mobiles avec surface servant de siège.</w:t>
      </w:r>
    </w:p>
    <w:p w:rsidR="00D07F21" w:rsidRPr="00BE1EBA" w:rsidRDefault="00D07F21" w:rsidP="00D07F21">
      <w:pPr>
        <w:pStyle w:val="DefaultText1"/>
        <w:shd w:val="clear" w:color="auto" w:fill="FFFFFF"/>
        <w:tabs>
          <w:tab w:val="left" w:pos="709"/>
        </w:tabs>
        <w:ind w:left="709" w:hanging="709"/>
        <w:rPr>
          <w:rStyle w:val="InitialStyle"/>
        </w:rPr>
      </w:pPr>
      <w:r w:rsidRPr="00BE1EBA">
        <w:rPr>
          <w:rStyle w:val="InitialStyle"/>
        </w:rPr>
        <w:t>TOUTES les catégories</w:t>
      </w:r>
    </w:p>
    <w:p w:rsidR="00D07F21" w:rsidRPr="00BE1EBA" w:rsidRDefault="00D07F21" w:rsidP="00984A68">
      <w:pPr>
        <w:pStyle w:val="DefaultText1"/>
        <w:shd w:val="clear" w:color="auto" w:fill="FFFFFF"/>
        <w:tabs>
          <w:tab w:val="left" w:pos="567"/>
        </w:tabs>
        <w:ind w:left="567" w:hanging="567"/>
        <w:rPr>
          <w:color w:val="000000" w:themeColor="text1"/>
        </w:rPr>
      </w:pPr>
      <w:r w:rsidRPr="00BE1EBA">
        <w:rPr>
          <w:rStyle w:val="InitialStyle"/>
          <w:color w:val="auto"/>
        </w:rPr>
        <w:t>5.10</w:t>
      </w:r>
      <w:r w:rsidRPr="00BE1EBA">
        <w:tab/>
      </w:r>
      <w:r w:rsidRPr="00BE1EBA">
        <w:rPr>
          <w:color w:val="000000" w:themeColor="text1"/>
        </w:rPr>
        <w:t>Tous les supports et toute la quincaillerie nécessaires pour mener à bien l</w:t>
      </w:r>
      <w:r w:rsidR="00812400" w:rsidRPr="00BE1EBA">
        <w:rPr>
          <w:color w:val="000000" w:themeColor="text1"/>
        </w:rPr>
        <w:t>’</w:t>
      </w:r>
      <w:r w:rsidRPr="00BE1EBA">
        <w:rPr>
          <w:color w:val="000000" w:themeColor="text1"/>
        </w:rPr>
        <w:t>ensemble de l</w:t>
      </w:r>
      <w:r w:rsidR="00812400" w:rsidRPr="00BE1EBA">
        <w:rPr>
          <w:color w:val="000000" w:themeColor="text1"/>
        </w:rPr>
        <w:t>’</w:t>
      </w:r>
      <w:r w:rsidRPr="00BE1EBA">
        <w:rPr>
          <w:color w:val="000000" w:themeColor="text1"/>
        </w:rPr>
        <w:t>installation doivent être fournis.</w:t>
      </w:r>
    </w:p>
    <w:p w:rsidR="00D07F21" w:rsidRPr="00BE1EBA" w:rsidRDefault="00D07F21" w:rsidP="00984A68">
      <w:pPr>
        <w:pStyle w:val="PlainText"/>
        <w:tabs>
          <w:tab w:val="left" w:pos="567"/>
        </w:tabs>
        <w:ind w:left="567" w:hanging="567"/>
        <w:rPr>
          <w:rFonts w:ascii="Arial" w:hAnsi="Arial"/>
          <w:color w:val="auto"/>
          <w:sz w:val="20"/>
          <w:szCs w:val="20"/>
        </w:rPr>
      </w:pPr>
      <w:r w:rsidRPr="00BE1EBA">
        <w:rPr>
          <w:rStyle w:val="InitialStyle"/>
          <w:color w:val="auto"/>
        </w:rPr>
        <w:t>5.11</w:t>
      </w:r>
      <w:r w:rsidRPr="00BE1EBA">
        <w:tab/>
      </w:r>
      <w:r w:rsidRPr="00BE1EBA">
        <w:rPr>
          <w:rStyle w:val="InitialStyle"/>
          <w:color w:val="auto"/>
        </w:rPr>
        <w:t>Les pièces doivent être remplaçables.</w:t>
      </w:r>
    </w:p>
    <w:p w:rsidR="00D07F21" w:rsidRPr="00BE1EBA" w:rsidRDefault="00D07F21" w:rsidP="00984A68">
      <w:pPr>
        <w:pStyle w:val="PlainText"/>
        <w:tabs>
          <w:tab w:val="left" w:pos="567"/>
        </w:tabs>
        <w:ind w:left="567" w:hanging="567"/>
        <w:rPr>
          <w:rFonts w:ascii="Arial" w:hAnsi="Arial"/>
          <w:sz w:val="20"/>
          <w:szCs w:val="20"/>
        </w:rPr>
      </w:pPr>
      <w:r w:rsidRPr="00BE1EBA">
        <w:rPr>
          <w:rFonts w:ascii="Arial" w:hAnsi="Arial"/>
          <w:b/>
          <w:sz w:val="20"/>
        </w:rPr>
        <w:t>6.0</w:t>
      </w:r>
      <w:r w:rsidRPr="00BE1EBA">
        <w:tab/>
      </w:r>
      <w:r w:rsidRPr="00BE1EBA">
        <w:rPr>
          <w:rFonts w:ascii="Arial" w:hAnsi="Arial"/>
          <w:b/>
          <w:sz w:val="20"/>
        </w:rPr>
        <w:t>EXIGENCES PARTICULIÈRES – Catégorie 1 (Système de cloisons interraccordables et autostables)</w:t>
      </w:r>
    </w:p>
    <w:p w:rsidR="00D07F21" w:rsidRPr="00BE1EBA" w:rsidRDefault="00D07F21" w:rsidP="00E42C32">
      <w:pPr>
        <w:pStyle w:val="ModlesEn-tte3"/>
      </w:pPr>
      <w:bookmarkStart w:id="86" w:name="_Toc412634831"/>
      <w:r w:rsidRPr="00BE1EBA">
        <w:t>Cloisons</w:t>
      </w:r>
      <w:bookmarkEnd w:id="86"/>
    </w:p>
    <w:p w:rsidR="00D07F21" w:rsidRPr="00BE1EBA" w:rsidRDefault="00D07F21" w:rsidP="00984A68">
      <w:pPr>
        <w:pStyle w:val="BodyText"/>
        <w:tabs>
          <w:tab w:val="left" w:pos="567"/>
        </w:tabs>
        <w:ind w:left="567" w:hanging="567"/>
        <w:rPr>
          <w:rFonts w:ascii="Arial" w:hAnsi="Arial" w:cs="Arial"/>
          <w:b/>
          <w:sz w:val="20"/>
        </w:rPr>
      </w:pPr>
      <w:r w:rsidRPr="00BE1EBA">
        <w:rPr>
          <w:rFonts w:ascii="Arial" w:hAnsi="Arial"/>
          <w:sz w:val="20"/>
        </w:rPr>
        <w:t>6.1</w:t>
      </w:r>
      <w:r w:rsidRPr="00BE1EBA">
        <w:tab/>
      </w:r>
      <w:r w:rsidRPr="00BE1EBA">
        <w:rPr>
          <w:rFonts w:ascii="Arial" w:hAnsi="Arial"/>
          <w:sz w:val="20"/>
        </w:rPr>
        <w:t>La hauteur totale des cloisons, y compris les composants soutenus aux cloisons, ne doit pas dépasser 1,37 m (54 po). Les panneaux doivent être empilables.</w:t>
      </w:r>
    </w:p>
    <w:p w:rsidR="00D07F21" w:rsidRPr="00BE1EBA" w:rsidRDefault="00D07F21" w:rsidP="00984A68">
      <w:pPr>
        <w:pStyle w:val="BodyText"/>
        <w:tabs>
          <w:tab w:val="left" w:pos="567"/>
        </w:tabs>
        <w:ind w:left="567" w:hanging="567"/>
        <w:rPr>
          <w:rFonts w:ascii="Arial" w:hAnsi="Arial" w:cs="Arial"/>
          <w:b/>
          <w:sz w:val="20"/>
        </w:rPr>
      </w:pPr>
      <w:r w:rsidRPr="00BE1EBA">
        <w:rPr>
          <w:rFonts w:ascii="Arial" w:hAnsi="Arial"/>
          <w:sz w:val="20"/>
        </w:rPr>
        <w:t>6.2</w:t>
      </w:r>
      <w:r w:rsidRPr="00BE1EBA">
        <w:tab/>
      </w:r>
      <w:r w:rsidRPr="00BE1EBA">
        <w:rPr>
          <w:rFonts w:ascii="Arial" w:hAnsi="Arial"/>
          <w:sz w:val="20"/>
        </w:rPr>
        <w:t>Les panneaux empilables doivent permettre de modifier la hauteur des cloisons, passant d</w:t>
      </w:r>
      <w:r w:rsidR="00812400" w:rsidRPr="00BE1EBA">
        <w:rPr>
          <w:rFonts w:ascii="Arial" w:hAnsi="Arial"/>
          <w:sz w:val="20"/>
        </w:rPr>
        <w:t>’</w:t>
      </w:r>
      <w:r w:rsidRPr="00BE1EBA">
        <w:rPr>
          <w:rFonts w:ascii="Arial" w:hAnsi="Arial"/>
          <w:sz w:val="20"/>
        </w:rPr>
        <w:t>une cloison de base à la hauteur d</w:t>
      </w:r>
      <w:r w:rsidR="00812400" w:rsidRPr="00BE1EBA">
        <w:rPr>
          <w:rFonts w:ascii="Arial" w:hAnsi="Arial"/>
          <w:sz w:val="20"/>
        </w:rPr>
        <w:t>’</w:t>
      </w:r>
      <w:r w:rsidRPr="00BE1EBA">
        <w:rPr>
          <w:rFonts w:ascii="Arial" w:hAnsi="Arial"/>
          <w:sz w:val="20"/>
        </w:rPr>
        <w:t>une cloison offrant une intimité au niveau de la surface de travail et de la hauteur d</w:t>
      </w:r>
      <w:r w:rsidR="00812400" w:rsidRPr="00BE1EBA">
        <w:rPr>
          <w:rFonts w:ascii="Arial" w:hAnsi="Arial"/>
          <w:sz w:val="20"/>
        </w:rPr>
        <w:t>’</w:t>
      </w:r>
      <w:r w:rsidRPr="00BE1EBA">
        <w:rPr>
          <w:rFonts w:ascii="Arial" w:hAnsi="Arial"/>
          <w:sz w:val="20"/>
        </w:rPr>
        <w:t>une cloison offrant une intimité au niveau de la surface de travail à la hauteur d</w:t>
      </w:r>
      <w:r w:rsidR="00812400" w:rsidRPr="00BE1EBA">
        <w:rPr>
          <w:rFonts w:ascii="Arial" w:hAnsi="Arial"/>
          <w:sz w:val="20"/>
        </w:rPr>
        <w:t>’</w:t>
      </w:r>
      <w:r w:rsidRPr="00BE1EBA">
        <w:rPr>
          <w:rFonts w:ascii="Arial" w:hAnsi="Arial"/>
          <w:sz w:val="20"/>
        </w:rPr>
        <w:t>une cloison offrant une intimité en position assise, et inversement. Ces panneaux empilables doivent permettre de soutenir une surface de travail.</w:t>
      </w:r>
    </w:p>
    <w:p w:rsidR="00D07F21" w:rsidRPr="00BE1EBA" w:rsidRDefault="00D07F21" w:rsidP="00BB1DE2">
      <w:pPr>
        <w:pStyle w:val="BodyText"/>
        <w:tabs>
          <w:tab w:val="left" w:pos="709"/>
          <w:tab w:val="left" w:pos="1134"/>
        </w:tabs>
        <w:ind w:left="1134" w:hanging="567"/>
        <w:rPr>
          <w:rFonts w:ascii="Arial" w:hAnsi="Arial" w:cs="Arial"/>
          <w:sz w:val="20"/>
        </w:rPr>
      </w:pPr>
      <w:r w:rsidRPr="00BE1EBA">
        <w:rPr>
          <w:rFonts w:ascii="Arial" w:hAnsi="Arial"/>
          <w:sz w:val="20"/>
        </w:rPr>
        <w:t>6.2.1.</w:t>
      </w:r>
      <w:r w:rsidRPr="00BE1EBA">
        <w:tab/>
      </w:r>
      <w:r w:rsidRPr="00BE1EBA">
        <w:rPr>
          <w:rFonts w:ascii="Arial" w:hAnsi="Arial"/>
          <w:sz w:val="20"/>
        </w:rPr>
        <w:t>Cloisons de base : La hauteur de ce type de cloison n</w:t>
      </w:r>
      <w:r w:rsidR="00812400" w:rsidRPr="00BE1EBA">
        <w:rPr>
          <w:rFonts w:ascii="Arial" w:hAnsi="Arial"/>
          <w:sz w:val="20"/>
        </w:rPr>
        <w:t>’</w:t>
      </w:r>
      <w:r w:rsidRPr="00BE1EBA">
        <w:rPr>
          <w:rFonts w:ascii="Arial" w:hAnsi="Arial"/>
          <w:sz w:val="20"/>
        </w:rPr>
        <w:t>offre pas d</w:t>
      </w:r>
      <w:r w:rsidR="00812400" w:rsidRPr="00BE1EBA">
        <w:rPr>
          <w:rFonts w:ascii="Arial" w:hAnsi="Arial"/>
          <w:sz w:val="20"/>
        </w:rPr>
        <w:t>’</w:t>
      </w:r>
      <w:r w:rsidRPr="00BE1EBA">
        <w:rPr>
          <w:rFonts w:ascii="Arial" w:hAnsi="Arial"/>
          <w:sz w:val="20"/>
        </w:rPr>
        <w:t>intimité pour l</w:t>
      </w:r>
      <w:r w:rsidR="00812400" w:rsidRPr="00BE1EBA">
        <w:rPr>
          <w:rFonts w:ascii="Arial" w:hAnsi="Arial"/>
          <w:sz w:val="20"/>
        </w:rPr>
        <w:t>’</w:t>
      </w:r>
      <w:r w:rsidRPr="00BE1EBA">
        <w:rPr>
          <w:rFonts w:ascii="Arial" w:hAnsi="Arial"/>
          <w:sz w:val="20"/>
        </w:rPr>
        <w:t>utilisateur.</w:t>
      </w:r>
    </w:p>
    <w:p w:rsidR="00D07F21" w:rsidRPr="00BE1EBA" w:rsidRDefault="00D07F21" w:rsidP="00BB1DE2">
      <w:pPr>
        <w:pStyle w:val="BodyText"/>
        <w:tabs>
          <w:tab w:val="left" w:pos="709"/>
          <w:tab w:val="left" w:pos="1134"/>
        </w:tabs>
        <w:ind w:left="1134" w:hanging="567"/>
        <w:rPr>
          <w:rFonts w:ascii="Arial" w:hAnsi="Arial" w:cs="Arial"/>
          <w:b/>
          <w:sz w:val="20"/>
        </w:rPr>
      </w:pPr>
      <w:r w:rsidRPr="00BE1EBA">
        <w:rPr>
          <w:rFonts w:ascii="Arial" w:hAnsi="Arial"/>
          <w:sz w:val="20"/>
        </w:rPr>
        <w:t>6.2.2</w:t>
      </w:r>
      <w:r w:rsidRPr="00BE1EBA">
        <w:tab/>
      </w:r>
      <w:r w:rsidRPr="00BE1EBA">
        <w:rPr>
          <w:rFonts w:ascii="Arial" w:hAnsi="Arial"/>
          <w:sz w:val="20"/>
        </w:rPr>
        <w:t>Cloisons assurant l</w:t>
      </w:r>
      <w:r w:rsidR="00812400" w:rsidRPr="00BE1EBA">
        <w:rPr>
          <w:rFonts w:ascii="Arial" w:hAnsi="Arial"/>
          <w:sz w:val="20"/>
        </w:rPr>
        <w:t>’</w:t>
      </w:r>
      <w:r w:rsidRPr="00BE1EBA">
        <w:rPr>
          <w:rFonts w:ascii="Arial" w:hAnsi="Arial"/>
          <w:sz w:val="20"/>
        </w:rPr>
        <w:t>intimité au niveau de la surface de travail</w:t>
      </w:r>
      <w:r w:rsidR="002A6210" w:rsidRPr="00BE1EBA">
        <w:rPr>
          <w:rFonts w:ascii="Arial" w:hAnsi="Arial"/>
          <w:sz w:val="20"/>
        </w:rPr>
        <w:t xml:space="preserve"> </w:t>
      </w:r>
      <w:r w:rsidRPr="00BE1EBA">
        <w:rPr>
          <w:rFonts w:ascii="Arial" w:hAnsi="Arial"/>
          <w:sz w:val="20"/>
        </w:rPr>
        <w:t>: Ce type de cloison, dont la hauteur offre une intimité à l</w:t>
      </w:r>
      <w:r w:rsidR="00812400" w:rsidRPr="00BE1EBA">
        <w:rPr>
          <w:rFonts w:ascii="Arial" w:hAnsi="Arial"/>
          <w:sz w:val="20"/>
        </w:rPr>
        <w:t>’</w:t>
      </w:r>
      <w:r w:rsidRPr="00BE1EBA">
        <w:rPr>
          <w:rFonts w:ascii="Arial" w:hAnsi="Arial"/>
          <w:sz w:val="20"/>
        </w:rPr>
        <w:t>utilisateur, permet également d</w:t>
      </w:r>
      <w:r w:rsidR="00812400" w:rsidRPr="00BE1EBA">
        <w:rPr>
          <w:rFonts w:ascii="Arial" w:hAnsi="Arial"/>
          <w:sz w:val="20"/>
        </w:rPr>
        <w:t>’</w:t>
      </w:r>
      <w:r w:rsidRPr="00BE1EBA">
        <w:rPr>
          <w:rFonts w:ascii="Arial" w:hAnsi="Arial"/>
          <w:sz w:val="20"/>
        </w:rPr>
        <w:t>accéder aux prises électriques et aux prises de données au niveau de la surface de travail et au­dessus et d</w:t>
      </w:r>
      <w:r w:rsidR="00812400" w:rsidRPr="00BE1EBA">
        <w:rPr>
          <w:rFonts w:ascii="Arial" w:hAnsi="Arial"/>
          <w:sz w:val="20"/>
        </w:rPr>
        <w:t>’</w:t>
      </w:r>
      <w:r w:rsidRPr="00BE1EBA">
        <w:rPr>
          <w:rFonts w:ascii="Arial" w:hAnsi="Arial"/>
          <w:sz w:val="20"/>
        </w:rPr>
        <w:t>installer des accessoires.</w:t>
      </w:r>
    </w:p>
    <w:p w:rsidR="00D07F21" w:rsidRPr="00643669" w:rsidRDefault="00D07F21" w:rsidP="00643669">
      <w:pPr>
        <w:pStyle w:val="BodyText"/>
        <w:tabs>
          <w:tab w:val="left" w:pos="709"/>
          <w:tab w:val="left" w:pos="1134"/>
        </w:tabs>
        <w:ind w:left="1134" w:hanging="567"/>
        <w:rPr>
          <w:rFonts w:ascii="Arial" w:hAnsi="Arial" w:cs="Arial"/>
          <w:sz w:val="20"/>
        </w:rPr>
      </w:pPr>
      <w:r w:rsidRPr="00BE1EBA">
        <w:rPr>
          <w:rFonts w:ascii="Arial" w:hAnsi="Arial"/>
          <w:sz w:val="20"/>
        </w:rPr>
        <w:t>6.2.3</w:t>
      </w:r>
      <w:r w:rsidRPr="00BE1EBA">
        <w:tab/>
      </w:r>
      <w:r w:rsidRPr="00BE1EBA">
        <w:rPr>
          <w:rFonts w:ascii="Arial" w:hAnsi="Arial"/>
          <w:sz w:val="20"/>
        </w:rPr>
        <w:t>Cloisons offrant une intimité en position assise : Ce type de cloison, dont la hauteur offre une intimité à l</w:t>
      </w:r>
      <w:r w:rsidR="00812400" w:rsidRPr="00BE1EBA">
        <w:rPr>
          <w:rFonts w:ascii="Arial" w:hAnsi="Arial"/>
          <w:sz w:val="20"/>
        </w:rPr>
        <w:t>’</w:t>
      </w:r>
      <w:r w:rsidRPr="00BE1EBA">
        <w:rPr>
          <w:rFonts w:ascii="Arial" w:hAnsi="Arial"/>
          <w:sz w:val="20"/>
        </w:rPr>
        <w:t>utilisateur en position assise, permet également d</w:t>
      </w:r>
      <w:r w:rsidR="00812400" w:rsidRPr="00BE1EBA">
        <w:rPr>
          <w:rFonts w:ascii="Arial" w:hAnsi="Arial"/>
          <w:sz w:val="20"/>
        </w:rPr>
        <w:t>’</w:t>
      </w:r>
      <w:r w:rsidRPr="00BE1EBA">
        <w:rPr>
          <w:rFonts w:ascii="Arial" w:hAnsi="Arial"/>
          <w:sz w:val="20"/>
        </w:rPr>
        <w:t>accéder aux prises électriques et aux prises de données au</w:t>
      </w:r>
      <w:r w:rsidR="003262E1" w:rsidRPr="00BE1EBA">
        <w:rPr>
          <w:rFonts w:ascii="Arial" w:hAnsi="Arial"/>
          <w:sz w:val="20"/>
        </w:rPr>
        <w:t>­</w:t>
      </w:r>
      <w:r w:rsidRPr="00BE1EBA">
        <w:rPr>
          <w:rFonts w:ascii="Arial" w:hAnsi="Arial"/>
          <w:sz w:val="20"/>
        </w:rPr>
        <w:t>dessus de la surface de travail et d</w:t>
      </w:r>
      <w:r w:rsidR="00812400" w:rsidRPr="00BE1EBA">
        <w:rPr>
          <w:rFonts w:ascii="Arial" w:hAnsi="Arial"/>
          <w:sz w:val="20"/>
        </w:rPr>
        <w:t>’</w:t>
      </w:r>
      <w:r w:rsidRPr="00BE1EBA">
        <w:rPr>
          <w:rFonts w:ascii="Arial" w:hAnsi="Arial"/>
          <w:sz w:val="20"/>
        </w:rPr>
        <w:t>installer des accessoires.</w:t>
      </w:r>
    </w:p>
    <w:p w:rsidR="00D07F21" w:rsidRPr="00BE1EBA" w:rsidRDefault="00D07F21" w:rsidP="00643669">
      <w:pPr>
        <w:pStyle w:val="BodyText"/>
        <w:tabs>
          <w:tab w:val="left" w:pos="567"/>
        </w:tabs>
        <w:ind w:left="567" w:hanging="567"/>
        <w:rPr>
          <w:rFonts w:ascii="Arial" w:hAnsi="Arial" w:cs="Arial"/>
          <w:b/>
          <w:sz w:val="20"/>
        </w:rPr>
      </w:pPr>
      <w:r w:rsidRPr="00BE1EBA">
        <w:rPr>
          <w:rFonts w:ascii="Arial" w:hAnsi="Arial"/>
          <w:sz w:val="20"/>
        </w:rPr>
        <w:t>6.3</w:t>
      </w:r>
      <w:r w:rsidRPr="00BE1EBA">
        <w:tab/>
      </w:r>
      <w:r w:rsidRPr="00BE1EBA">
        <w:rPr>
          <w:rFonts w:ascii="Arial" w:hAnsi="Arial"/>
          <w:sz w:val="20"/>
        </w:rPr>
        <w:t>Les cloisons de base doivent permettre l</w:t>
      </w:r>
      <w:r w:rsidR="00812400" w:rsidRPr="00BE1EBA">
        <w:rPr>
          <w:rFonts w:ascii="Arial" w:hAnsi="Arial"/>
          <w:sz w:val="20"/>
        </w:rPr>
        <w:t>’</w:t>
      </w:r>
      <w:r w:rsidRPr="00BE1EBA">
        <w:rPr>
          <w:rFonts w:ascii="Arial" w:hAnsi="Arial"/>
          <w:sz w:val="20"/>
        </w:rPr>
        <w:t>accès prises électriques et aux prises de données au niveau de la surface de travail et en dessous.</w:t>
      </w:r>
    </w:p>
    <w:p w:rsidR="00D07F21" w:rsidRPr="00BE1EBA" w:rsidRDefault="00D07F21" w:rsidP="00BB1DE2">
      <w:pPr>
        <w:pStyle w:val="DefaultText1"/>
        <w:shd w:val="clear" w:color="auto" w:fill="FFFFFF"/>
        <w:tabs>
          <w:tab w:val="left" w:pos="567"/>
        </w:tabs>
        <w:ind w:left="567" w:hanging="567"/>
        <w:contextualSpacing/>
      </w:pPr>
      <w:r w:rsidRPr="00BE1EBA">
        <w:t>6.4</w:t>
      </w:r>
      <w:r w:rsidRPr="00BE1EBA">
        <w:tab/>
        <w:t>Toutes les cloisons assurant l</w:t>
      </w:r>
      <w:r w:rsidR="00812400" w:rsidRPr="00BE1EBA">
        <w:t>’</w:t>
      </w:r>
      <w:r w:rsidRPr="00BE1EBA">
        <w:t>intimité au niveau de la surface de travail et en position assise doivent être dotées de modules d</w:t>
      </w:r>
      <w:r w:rsidR="00812400" w:rsidRPr="00BE1EBA">
        <w:t>’</w:t>
      </w:r>
      <w:r w:rsidRPr="00BE1EBA">
        <w:t>alimentation et de communication de données montés sur la façade à la même hauteur que la surface de travail, ou au</w:t>
      </w:r>
      <w:r w:rsidR="003262E1" w:rsidRPr="00BE1EBA">
        <w:t>­</w:t>
      </w:r>
      <w:r w:rsidRPr="00BE1EBA">
        <w:t>dessus ou en dessous de celle</w:t>
      </w:r>
      <w:r w:rsidR="003262E1" w:rsidRPr="00BE1EBA">
        <w:t>­</w:t>
      </w:r>
      <w:r w:rsidRPr="00BE1EBA">
        <w:t>ci. Les prises de courant doubles, ainsi que les prises voix et données, doivent être posées à des endroits prédéterminés, lorsque prescrit.</w:t>
      </w:r>
    </w:p>
    <w:p w:rsidR="00D07F21" w:rsidRPr="00BE1EBA" w:rsidRDefault="00D07F21" w:rsidP="00D07F21">
      <w:pPr>
        <w:pStyle w:val="DefaultText1"/>
        <w:shd w:val="clear" w:color="auto" w:fill="FFFFFF"/>
        <w:tabs>
          <w:tab w:val="left" w:pos="709"/>
        </w:tabs>
        <w:ind w:left="709" w:hanging="709"/>
        <w:contextualSpacing/>
      </w:pPr>
    </w:p>
    <w:p w:rsidR="00D07F21" w:rsidRPr="00BE1EBA" w:rsidRDefault="00D07F21" w:rsidP="00BB1DE2">
      <w:pPr>
        <w:pStyle w:val="DefaultText1"/>
        <w:shd w:val="clear" w:color="auto" w:fill="FFFFFF"/>
        <w:tabs>
          <w:tab w:val="left" w:pos="567"/>
        </w:tabs>
        <w:ind w:left="567" w:hanging="567"/>
        <w:rPr>
          <w:strike/>
        </w:rPr>
      </w:pPr>
      <w:r w:rsidRPr="00BE1EBA">
        <w:t>6.5</w:t>
      </w:r>
      <w:r w:rsidRPr="00BE1EBA">
        <w:tab/>
        <w:t>La tolérance indiquée dans le Catalogue de produits du gouvernement du Canada pour la largeur des cloisons est de ± 25,4 mm (1 po).</w:t>
      </w:r>
    </w:p>
    <w:p w:rsidR="00D07F21" w:rsidRPr="00BE1EBA" w:rsidRDefault="00D07F21" w:rsidP="00BB1DE2">
      <w:pPr>
        <w:pStyle w:val="DefaultText1"/>
        <w:shd w:val="clear" w:color="auto" w:fill="FFFFFF"/>
        <w:tabs>
          <w:tab w:val="left" w:pos="567"/>
        </w:tabs>
        <w:ind w:left="567" w:hanging="567"/>
        <w:contextualSpacing/>
        <w:rPr>
          <w:sz w:val="8"/>
        </w:rPr>
      </w:pPr>
    </w:p>
    <w:p w:rsidR="00D07F21" w:rsidRPr="00BE1EBA" w:rsidRDefault="00D07F21" w:rsidP="00BB1DE2">
      <w:pPr>
        <w:pStyle w:val="DefaultText1"/>
        <w:shd w:val="clear" w:color="auto" w:fill="FFFFFF"/>
        <w:tabs>
          <w:tab w:val="left" w:pos="567"/>
        </w:tabs>
        <w:ind w:left="567" w:hanging="567"/>
        <w:contextualSpacing/>
      </w:pPr>
      <w:r w:rsidRPr="00BE1EBA">
        <w:t>6.6</w:t>
      </w:r>
      <w:r w:rsidRPr="00BE1EBA">
        <w:tab/>
        <w:t>Les cloisons doivent avoir une largeur permettant d</w:t>
      </w:r>
      <w:r w:rsidR="00812400" w:rsidRPr="00BE1EBA">
        <w:t>’</w:t>
      </w:r>
      <w:r w:rsidRPr="00BE1EBA">
        <w:t>installer du mobilier autostable et des éléments de rangement sur trois côtés, tout en maintenant un coin à angle droit.</w:t>
      </w:r>
    </w:p>
    <w:p w:rsidR="00D07F21" w:rsidRPr="00BE1EBA" w:rsidRDefault="00D07F21" w:rsidP="00BB1DE2">
      <w:pPr>
        <w:pStyle w:val="DefaultText1"/>
        <w:shd w:val="clear" w:color="auto" w:fill="FFFFFF"/>
        <w:tabs>
          <w:tab w:val="left" w:pos="567"/>
        </w:tabs>
        <w:ind w:left="567" w:hanging="567"/>
      </w:pPr>
    </w:p>
    <w:p w:rsidR="00D07F21" w:rsidRPr="00BE1EBA" w:rsidRDefault="00D07F21" w:rsidP="00BB1DE2">
      <w:pPr>
        <w:tabs>
          <w:tab w:val="left" w:pos="567"/>
        </w:tabs>
        <w:ind w:left="567" w:hanging="567"/>
        <w:rPr>
          <w:szCs w:val="20"/>
        </w:rPr>
      </w:pPr>
      <w:r w:rsidRPr="00BE1EBA">
        <w:lastRenderedPageBreak/>
        <w:t>6.7</w:t>
      </w:r>
      <w:r w:rsidRPr="00BE1EBA">
        <w:tab/>
        <w:t>Les cloisons doivent être revêtues de tissu, de plastique stratifié, de placage de bois et/ou de métal.</w:t>
      </w:r>
    </w:p>
    <w:p w:rsidR="00D07F21" w:rsidRPr="00BE1EBA" w:rsidRDefault="00D07F21" w:rsidP="00BB1DE2">
      <w:pPr>
        <w:tabs>
          <w:tab w:val="left" w:pos="567"/>
        </w:tabs>
        <w:ind w:left="567" w:hanging="567"/>
        <w:rPr>
          <w:bCs/>
          <w:szCs w:val="20"/>
        </w:rPr>
      </w:pPr>
      <w:r w:rsidRPr="00BE1EBA">
        <w:t>6.8</w:t>
      </w:r>
      <w:r w:rsidRPr="00BE1EBA">
        <w:tab/>
        <w:t>Tous les cadres de cloisons avec panneaux vitrés doivent avoir une hauteur maximale de 610 mm (24 po).</w:t>
      </w:r>
    </w:p>
    <w:p w:rsidR="00D07F21" w:rsidRPr="00BE1EBA" w:rsidRDefault="00D07F21" w:rsidP="00BB1DE2">
      <w:pPr>
        <w:pStyle w:val="Style1"/>
        <w:rPr>
          <w:b/>
        </w:rPr>
      </w:pPr>
      <w:r w:rsidRPr="00BE1EBA">
        <w:t>6.9</w:t>
      </w:r>
      <w:r w:rsidRPr="00BE1EBA">
        <w:tab/>
        <w:t>Lorsque le cadre intérieur des cloisons soutenues est en métal, les composants en métal doivent être anodisés, peints ou autrement traités afin d</w:t>
      </w:r>
      <w:r w:rsidR="00812400" w:rsidRPr="00BE1EBA">
        <w:t>’</w:t>
      </w:r>
      <w:r w:rsidRPr="00BE1EBA">
        <w:t>empêcher l</w:t>
      </w:r>
      <w:r w:rsidR="00812400" w:rsidRPr="00BE1EBA">
        <w:t>’</w:t>
      </w:r>
      <w:r w:rsidRPr="00BE1EBA">
        <w:t>oxydation.</w:t>
      </w:r>
    </w:p>
    <w:p w:rsidR="00D07F21" w:rsidRPr="00BE1EBA" w:rsidRDefault="00D07F21" w:rsidP="00BB1DE2">
      <w:pPr>
        <w:pStyle w:val="Style1"/>
        <w:rPr>
          <w:b/>
        </w:rPr>
      </w:pPr>
      <w:r w:rsidRPr="00BE1EBA">
        <w:t>6.10</w:t>
      </w:r>
      <w:r w:rsidRPr="00BE1EBA">
        <w:tab/>
        <w:t>Des panneaux additionnels revêtus de tissu, dotés de tableaux punaisables, de rails pour accessoires, de tableaux blancs, de panneaux vitrés et/ou de toute combinaison de ces éléments doivent être offerts.</w:t>
      </w:r>
    </w:p>
    <w:p w:rsidR="00D07F21" w:rsidRPr="00BE1EBA" w:rsidRDefault="00BB1DE2" w:rsidP="00984A68">
      <w:pPr>
        <w:pStyle w:val="Style1"/>
        <w:rPr>
          <w:b/>
        </w:rPr>
      </w:pPr>
      <w:r w:rsidRPr="00BE1EBA">
        <w:t>6.11</w:t>
      </w:r>
      <w:r w:rsidRPr="00BE1EBA">
        <w:tab/>
        <w:t>Des raccords de cloisons doivent permettre d</w:t>
      </w:r>
      <w:r w:rsidR="00812400" w:rsidRPr="00BE1EBA">
        <w:t>’</w:t>
      </w:r>
      <w:r w:rsidRPr="00BE1EBA">
        <w:t>installer une cloison perpendiculaire à n</w:t>
      </w:r>
      <w:r w:rsidR="00812400" w:rsidRPr="00BE1EBA">
        <w:t>’</w:t>
      </w:r>
      <w:r w:rsidRPr="00BE1EBA">
        <w:t>importe quel point sur la largeur d</w:t>
      </w:r>
      <w:r w:rsidR="00812400" w:rsidRPr="00BE1EBA">
        <w:t>’</w:t>
      </w:r>
      <w:r w:rsidRPr="00BE1EBA">
        <w:t>une cloison.</w:t>
      </w:r>
    </w:p>
    <w:p w:rsidR="00D07F21" w:rsidRPr="00BE1EBA" w:rsidRDefault="00D07F21" w:rsidP="00D07F21">
      <w:pPr>
        <w:pStyle w:val="DefaultText1"/>
        <w:shd w:val="clear" w:color="auto" w:fill="FFFFFF"/>
        <w:tabs>
          <w:tab w:val="left" w:pos="709"/>
        </w:tabs>
        <w:ind w:left="709" w:hanging="709"/>
        <w:rPr>
          <w:b/>
        </w:rPr>
      </w:pPr>
      <w:r w:rsidRPr="00BE1EBA">
        <w:rPr>
          <w:b/>
        </w:rPr>
        <w:t>Chemin de câbles</w:t>
      </w:r>
    </w:p>
    <w:p w:rsidR="00D07F21" w:rsidRPr="00BE1EBA" w:rsidRDefault="00D07F21" w:rsidP="00BB1DE2">
      <w:pPr>
        <w:pStyle w:val="DefaultText1"/>
        <w:shd w:val="clear" w:color="auto" w:fill="FFFFFF"/>
        <w:tabs>
          <w:tab w:val="left" w:pos="567"/>
        </w:tabs>
        <w:ind w:left="567" w:hanging="567"/>
      </w:pPr>
      <w:r w:rsidRPr="00BE1EBA">
        <w:t>6.12</w:t>
      </w:r>
      <w:r w:rsidRPr="00BE1EBA">
        <w:tab/>
        <w:t>Toutes les cloisons avec ou sans prise électrique doivent comporter un chemin de câbles dissimulé qui permet d</w:t>
      </w:r>
      <w:r w:rsidR="00812400" w:rsidRPr="00BE1EBA">
        <w:t>’</w:t>
      </w:r>
      <w:r w:rsidRPr="00BE1EBA">
        <w:t>acheminer les câbles électriques et téléphoniques et les câbles de transmission de la voix et des données.</w:t>
      </w:r>
    </w:p>
    <w:p w:rsidR="00D07F21" w:rsidRPr="00BE1EBA" w:rsidRDefault="00D07F21" w:rsidP="00BB1DE2">
      <w:pPr>
        <w:pStyle w:val="DefaultText1"/>
        <w:shd w:val="clear" w:color="auto" w:fill="FFFFFF"/>
        <w:tabs>
          <w:tab w:val="left" w:pos="709"/>
          <w:tab w:val="left" w:pos="1134"/>
        </w:tabs>
        <w:ind w:left="1134" w:hanging="567"/>
        <w:rPr>
          <w:bCs/>
        </w:rPr>
      </w:pPr>
      <w:r w:rsidRPr="00BE1EBA">
        <w:t>6.12.1</w:t>
      </w:r>
      <w:r w:rsidRPr="00BE1EBA">
        <w:tab/>
        <w:t>Les chemins de câbles doivent être suffisamment spacieux pour offrir un rayon de courbure d</w:t>
      </w:r>
      <w:r w:rsidR="00812400" w:rsidRPr="00BE1EBA">
        <w:t>’</w:t>
      </w:r>
      <w:r w:rsidRPr="00BE1EBA">
        <w:t>au moins 76 mm (3 po) destiné au passage de câbles de communication à l</w:t>
      </w:r>
      <w:r w:rsidR="00812400" w:rsidRPr="00BE1EBA">
        <w:t>’</w:t>
      </w:r>
      <w:r w:rsidRPr="00BE1EBA">
        <w:t>horizontale et à la verticale.</w:t>
      </w:r>
    </w:p>
    <w:p w:rsidR="00D07F21" w:rsidRPr="00BE1EBA" w:rsidRDefault="00D07F21" w:rsidP="00BB1DE2">
      <w:pPr>
        <w:tabs>
          <w:tab w:val="left" w:pos="709"/>
          <w:tab w:val="left" w:pos="1134"/>
        </w:tabs>
        <w:ind w:left="1134" w:hanging="567"/>
        <w:rPr>
          <w:szCs w:val="20"/>
        </w:rPr>
      </w:pPr>
      <w:r w:rsidRPr="00BE1EBA">
        <w:t>6.12.2</w:t>
      </w:r>
      <w:r w:rsidRPr="00BE1EBA">
        <w:tab/>
        <w:t>Les chemins de câbles doivent recevoir au moins trois (3) circuits</w:t>
      </w:r>
      <w:r w:rsidR="00DB4E1A" w:rsidRPr="00BE1EBA">
        <w:t xml:space="preserve"> à huit (8) fils ainsi que neuf </w:t>
      </w:r>
      <w:r w:rsidRPr="00BE1EBA">
        <w:t>(9) câbles de communication d</w:t>
      </w:r>
      <w:r w:rsidR="00812400" w:rsidRPr="00BE1EBA">
        <w:t>’</w:t>
      </w:r>
      <w:r w:rsidRPr="00BE1EBA">
        <w:t xml:space="preserve">un diamètre de 5 mm (0,20 po) avec une capacité de remplissage maximale de 60 %. </w:t>
      </w:r>
    </w:p>
    <w:p w:rsidR="00D07F21" w:rsidRPr="00BE1EBA" w:rsidRDefault="00D07F21" w:rsidP="00BB1DE2">
      <w:pPr>
        <w:pStyle w:val="BodyText"/>
        <w:tabs>
          <w:tab w:val="left" w:pos="709"/>
          <w:tab w:val="left" w:pos="1134"/>
        </w:tabs>
        <w:ind w:left="1134" w:hanging="567"/>
        <w:rPr>
          <w:rFonts w:ascii="Arial" w:hAnsi="Arial" w:cs="Arial"/>
          <w:b/>
          <w:bCs/>
          <w:sz w:val="20"/>
        </w:rPr>
      </w:pPr>
      <w:r w:rsidRPr="00BE1EBA">
        <w:rPr>
          <w:rFonts w:ascii="Arial" w:hAnsi="Arial"/>
          <w:sz w:val="20"/>
        </w:rPr>
        <w:t>6.12.3</w:t>
      </w:r>
      <w:r w:rsidRPr="00BE1EBA">
        <w:tab/>
      </w:r>
      <w:r w:rsidRPr="00BE1EBA">
        <w:rPr>
          <w:rFonts w:ascii="Arial" w:hAnsi="Arial"/>
          <w:sz w:val="20"/>
        </w:rPr>
        <w:t>Les chemins de câbles situés à la base doivent être munis d</w:t>
      </w:r>
      <w:r w:rsidR="00812400" w:rsidRPr="00BE1EBA">
        <w:rPr>
          <w:rFonts w:ascii="Arial" w:hAnsi="Arial"/>
          <w:sz w:val="20"/>
        </w:rPr>
        <w:t>’</w:t>
      </w:r>
      <w:r w:rsidRPr="00BE1EBA">
        <w:rPr>
          <w:rFonts w:ascii="Arial" w:hAnsi="Arial"/>
          <w:sz w:val="20"/>
        </w:rPr>
        <w:t>entrées défonçables pour recevoir au besoin des prises d</w:t>
      </w:r>
      <w:r w:rsidR="00812400" w:rsidRPr="00BE1EBA">
        <w:rPr>
          <w:rFonts w:ascii="Arial" w:hAnsi="Arial"/>
          <w:sz w:val="20"/>
        </w:rPr>
        <w:t>’</w:t>
      </w:r>
      <w:r w:rsidRPr="00BE1EBA">
        <w:rPr>
          <w:rFonts w:ascii="Arial" w:hAnsi="Arial"/>
          <w:sz w:val="20"/>
        </w:rPr>
        <w:t>alimentation dos à dos.</w:t>
      </w:r>
    </w:p>
    <w:p w:rsidR="00D07F21" w:rsidRPr="00BE1EBA" w:rsidRDefault="00D07F21" w:rsidP="00BB1DE2">
      <w:pPr>
        <w:pStyle w:val="BodyText"/>
        <w:tabs>
          <w:tab w:val="left" w:pos="709"/>
          <w:tab w:val="left" w:pos="1134"/>
        </w:tabs>
        <w:ind w:left="1134" w:hanging="567"/>
        <w:rPr>
          <w:rFonts w:ascii="Arial" w:hAnsi="Arial" w:cs="Arial"/>
          <w:b/>
          <w:bCs/>
          <w:sz w:val="20"/>
        </w:rPr>
      </w:pPr>
      <w:r w:rsidRPr="00BE1EBA">
        <w:rPr>
          <w:rFonts w:ascii="Arial" w:hAnsi="Arial"/>
          <w:sz w:val="20"/>
        </w:rPr>
        <w:t>6.12.4</w:t>
      </w:r>
      <w:r w:rsidRPr="00BE1EBA">
        <w:tab/>
      </w:r>
      <w:r w:rsidRPr="00BE1EBA">
        <w:rPr>
          <w:rFonts w:ascii="Arial" w:hAnsi="Arial"/>
          <w:sz w:val="20"/>
        </w:rPr>
        <w:t>Les couvercles de chemins de câbles doivent s</w:t>
      </w:r>
      <w:r w:rsidR="00812400" w:rsidRPr="00BE1EBA">
        <w:rPr>
          <w:rFonts w:ascii="Arial" w:hAnsi="Arial"/>
          <w:sz w:val="20"/>
        </w:rPr>
        <w:t>’</w:t>
      </w:r>
      <w:r w:rsidRPr="00BE1EBA">
        <w:rPr>
          <w:rFonts w:ascii="Arial" w:hAnsi="Arial"/>
          <w:sz w:val="20"/>
        </w:rPr>
        <w:t>ouvrir sans l</w:t>
      </w:r>
      <w:r w:rsidR="00812400" w:rsidRPr="00BE1EBA">
        <w:rPr>
          <w:rFonts w:ascii="Arial" w:hAnsi="Arial"/>
          <w:sz w:val="20"/>
        </w:rPr>
        <w:t>’</w:t>
      </w:r>
      <w:r w:rsidRPr="00BE1EBA">
        <w:rPr>
          <w:rFonts w:ascii="Arial" w:hAnsi="Arial"/>
          <w:sz w:val="20"/>
        </w:rPr>
        <w:t>aide d</w:t>
      </w:r>
      <w:r w:rsidR="00812400" w:rsidRPr="00BE1EBA">
        <w:rPr>
          <w:rFonts w:ascii="Arial" w:hAnsi="Arial"/>
          <w:sz w:val="20"/>
        </w:rPr>
        <w:t>’</w:t>
      </w:r>
      <w:r w:rsidRPr="00BE1EBA">
        <w:rPr>
          <w:rFonts w:ascii="Arial" w:hAnsi="Arial"/>
          <w:sz w:val="20"/>
        </w:rPr>
        <w:t>outils spéciaux et se refermer solidement.</w:t>
      </w:r>
    </w:p>
    <w:p w:rsidR="00D07F21" w:rsidRPr="00BE1EBA" w:rsidRDefault="00D07F21" w:rsidP="00BB1DE2">
      <w:pPr>
        <w:pStyle w:val="BodyText"/>
        <w:tabs>
          <w:tab w:val="left" w:pos="709"/>
          <w:tab w:val="left" w:pos="1134"/>
        </w:tabs>
        <w:ind w:left="1134" w:hanging="567"/>
        <w:rPr>
          <w:rFonts w:ascii="Arial" w:hAnsi="Arial" w:cs="Arial"/>
          <w:b/>
          <w:bCs/>
          <w:sz w:val="20"/>
        </w:rPr>
      </w:pPr>
      <w:r w:rsidRPr="00BE1EBA">
        <w:rPr>
          <w:rFonts w:ascii="Arial" w:hAnsi="Arial"/>
          <w:sz w:val="20"/>
        </w:rPr>
        <w:t>6.12.5</w:t>
      </w:r>
      <w:r w:rsidRPr="00BE1EBA">
        <w:tab/>
      </w:r>
      <w:r w:rsidRPr="00BE1EBA">
        <w:rPr>
          <w:rFonts w:ascii="Arial" w:hAnsi="Arial"/>
          <w:sz w:val="20"/>
        </w:rPr>
        <w:t>Les câbles de communication et d</w:t>
      </w:r>
      <w:r w:rsidR="00812400" w:rsidRPr="00BE1EBA">
        <w:rPr>
          <w:rFonts w:ascii="Arial" w:hAnsi="Arial"/>
          <w:sz w:val="20"/>
        </w:rPr>
        <w:t>’</w:t>
      </w:r>
      <w:r w:rsidRPr="00BE1EBA">
        <w:rPr>
          <w:rFonts w:ascii="Arial" w:hAnsi="Arial"/>
          <w:sz w:val="20"/>
        </w:rPr>
        <w:t>électricité peuvent être placés dans un même chemin de câbles, à condition qu</w:t>
      </w:r>
      <w:r w:rsidR="00812400" w:rsidRPr="00BE1EBA">
        <w:rPr>
          <w:rFonts w:ascii="Arial" w:hAnsi="Arial"/>
          <w:sz w:val="20"/>
        </w:rPr>
        <w:t>’</w:t>
      </w:r>
      <w:r w:rsidRPr="00BE1EBA">
        <w:rPr>
          <w:rFonts w:ascii="Arial" w:hAnsi="Arial"/>
          <w:sz w:val="20"/>
        </w:rPr>
        <w:t>ils soient physiquement séparés.</w:t>
      </w:r>
    </w:p>
    <w:p w:rsidR="00D07F21" w:rsidRPr="00BE1EBA" w:rsidRDefault="00D07F21" w:rsidP="00BB1DE2">
      <w:pPr>
        <w:pStyle w:val="BodyText"/>
        <w:tabs>
          <w:tab w:val="left" w:pos="709"/>
          <w:tab w:val="left" w:pos="1134"/>
        </w:tabs>
        <w:ind w:left="1134" w:hanging="567"/>
        <w:rPr>
          <w:rFonts w:ascii="Arial" w:hAnsi="Arial" w:cs="Arial"/>
          <w:b/>
          <w:bCs/>
          <w:sz w:val="20"/>
        </w:rPr>
      </w:pPr>
      <w:r w:rsidRPr="00BE1EBA">
        <w:rPr>
          <w:rFonts w:ascii="Arial" w:hAnsi="Arial"/>
          <w:sz w:val="20"/>
        </w:rPr>
        <w:t>6.12.6</w:t>
      </w:r>
      <w:r w:rsidRPr="00BE1EBA">
        <w:tab/>
      </w:r>
      <w:r w:rsidRPr="00BE1EBA">
        <w:rPr>
          <w:rFonts w:ascii="Arial" w:hAnsi="Arial"/>
          <w:sz w:val="20"/>
        </w:rPr>
        <w:t>Il doit être possible d</w:t>
      </w:r>
      <w:r w:rsidR="00812400" w:rsidRPr="00BE1EBA">
        <w:rPr>
          <w:rFonts w:ascii="Arial" w:hAnsi="Arial"/>
          <w:sz w:val="20"/>
        </w:rPr>
        <w:t>’</w:t>
      </w:r>
      <w:r w:rsidRPr="00BE1EBA">
        <w:rPr>
          <w:rFonts w:ascii="Arial" w:hAnsi="Arial"/>
          <w:sz w:val="20"/>
        </w:rPr>
        <w:t>installer des prises d</w:t>
      </w:r>
      <w:r w:rsidR="00812400" w:rsidRPr="00BE1EBA">
        <w:rPr>
          <w:rFonts w:ascii="Arial" w:hAnsi="Arial"/>
          <w:sz w:val="20"/>
        </w:rPr>
        <w:t>’</w:t>
      </w:r>
      <w:r w:rsidRPr="00BE1EBA">
        <w:rPr>
          <w:rFonts w:ascii="Arial" w:hAnsi="Arial"/>
          <w:sz w:val="20"/>
        </w:rPr>
        <w:t>alimentation sur les chemins de câbles qui n</w:t>
      </w:r>
      <w:r w:rsidR="00812400" w:rsidRPr="00BE1EBA">
        <w:rPr>
          <w:rFonts w:ascii="Arial" w:hAnsi="Arial"/>
          <w:sz w:val="20"/>
        </w:rPr>
        <w:t>’</w:t>
      </w:r>
      <w:r w:rsidRPr="00BE1EBA">
        <w:rPr>
          <w:rFonts w:ascii="Arial" w:hAnsi="Arial"/>
          <w:sz w:val="20"/>
        </w:rPr>
        <w:t xml:space="preserve">en ont pas sans avoir à démonter le poste de travail. </w:t>
      </w:r>
    </w:p>
    <w:p w:rsidR="00D07F21" w:rsidRPr="00BE1EBA" w:rsidRDefault="00D07F21" w:rsidP="00643669">
      <w:pPr>
        <w:pStyle w:val="BodyText"/>
        <w:tabs>
          <w:tab w:val="left" w:pos="709"/>
          <w:tab w:val="left" w:pos="1134"/>
        </w:tabs>
        <w:ind w:left="1134" w:hanging="567"/>
        <w:rPr>
          <w:rFonts w:ascii="Arial" w:hAnsi="Arial" w:cs="Arial"/>
          <w:b/>
          <w:bCs/>
          <w:sz w:val="20"/>
        </w:rPr>
      </w:pPr>
      <w:r w:rsidRPr="00BE1EBA">
        <w:rPr>
          <w:rFonts w:ascii="Arial" w:hAnsi="Arial"/>
          <w:sz w:val="20"/>
        </w:rPr>
        <w:t>6.12.7</w:t>
      </w:r>
      <w:r w:rsidRPr="00BE1EBA">
        <w:tab/>
      </w:r>
      <w:r w:rsidRPr="00BE1EBA">
        <w:rPr>
          <w:rFonts w:ascii="Arial" w:hAnsi="Arial"/>
          <w:sz w:val="20"/>
        </w:rPr>
        <w:t>Toutes les entrées défonçables et tous les points d</w:t>
      </w:r>
      <w:r w:rsidR="00812400" w:rsidRPr="00BE1EBA">
        <w:rPr>
          <w:rFonts w:ascii="Arial" w:hAnsi="Arial"/>
          <w:sz w:val="20"/>
        </w:rPr>
        <w:t>’</w:t>
      </w:r>
      <w:r w:rsidRPr="00BE1EBA">
        <w:rPr>
          <w:rFonts w:ascii="Arial" w:hAnsi="Arial"/>
          <w:sz w:val="20"/>
        </w:rPr>
        <w:t>accès non utilisés et visibles doivent être recouverts pour cacher les trous inesthétiques.</w:t>
      </w:r>
    </w:p>
    <w:p w:rsidR="00D07F21" w:rsidRPr="00643669" w:rsidRDefault="00D07F21" w:rsidP="00643669">
      <w:pPr>
        <w:pStyle w:val="BodyText"/>
        <w:tabs>
          <w:tab w:val="left" w:pos="567"/>
        </w:tabs>
        <w:ind w:left="567" w:hanging="567"/>
        <w:rPr>
          <w:rFonts w:ascii="Arial" w:hAnsi="Arial" w:cs="Arial"/>
          <w:b/>
          <w:bCs/>
          <w:sz w:val="20"/>
        </w:rPr>
      </w:pPr>
      <w:r w:rsidRPr="00BE1EBA">
        <w:rPr>
          <w:rFonts w:ascii="Arial" w:hAnsi="Arial"/>
          <w:sz w:val="20"/>
        </w:rPr>
        <w:t>6.13</w:t>
      </w:r>
      <w:r w:rsidRPr="00BE1EBA">
        <w:tab/>
      </w:r>
      <w:r w:rsidRPr="00BE1EBA">
        <w:rPr>
          <w:rFonts w:ascii="Arial" w:hAnsi="Arial"/>
          <w:sz w:val="20"/>
        </w:rPr>
        <w:t>Système vertical d</w:t>
      </w:r>
      <w:r w:rsidR="00812400" w:rsidRPr="00BE1EBA">
        <w:rPr>
          <w:rFonts w:ascii="Arial" w:hAnsi="Arial"/>
          <w:sz w:val="20"/>
        </w:rPr>
        <w:t>’</w:t>
      </w:r>
      <w:r w:rsidRPr="00BE1EBA">
        <w:rPr>
          <w:rFonts w:ascii="Arial" w:hAnsi="Arial"/>
          <w:sz w:val="20"/>
        </w:rPr>
        <w:t>acheminement des câbles : Il doit permettre de camoufler les câbles entre le chemin de câbles de la base de la cloison et la surface de travail ainsi que les câbles acheminés entre la surface de travail et le haut de la cloison.</w:t>
      </w:r>
    </w:p>
    <w:p w:rsidR="00D07F21" w:rsidRPr="00BE1EBA" w:rsidRDefault="00D07F21" w:rsidP="00BB1DE2">
      <w:pPr>
        <w:pStyle w:val="ModlesEn-tte3"/>
      </w:pPr>
      <w:bookmarkStart w:id="87" w:name="_Toc412634832"/>
      <w:r w:rsidRPr="00BE1EBA">
        <w:t>Installation électrique</w:t>
      </w:r>
      <w:bookmarkEnd w:id="87"/>
    </w:p>
    <w:p w:rsidR="00D07F21" w:rsidRPr="00BE1EBA" w:rsidRDefault="00D07F21" w:rsidP="00BB1DE2">
      <w:pPr>
        <w:pStyle w:val="BodyText"/>
        <w:tabs>
          <w:tab w:val="left" w:pos="567"/>
        </w:tabs>
        <w:ind w:left="567" w:hanging="567"/>
        <w:rPr>
          <w:rFonts w:ascii="Arial" w:hAnsi="Arial" w:cs="Arial"/>
          <w:b/>
          <w:bCs/>
          <w:sz w:val="20"/>
        </w:rPr>
      </w:pPr>
      <w:r w:rsidRPr="00BE1EBA">
        <w:rPr>
          <w:rFonts w:ascii="Arial" w:hAnsi="Arial"/>
          <w:sz w:val="20"/>
        </w:rPr>
        <w:t>6.14</w:t>
      </w:r>
      <w:r w:rsidRPr="00BE1EBA">
        <w:tab/>
      </w:r>
      <w:r w:rsidRPr="00BE1EBA">
        <w:rPr>
          <w:rFonts w:ascii="Arial" w:hAnsi="Arial"/>
          <w:sz w:val="20"/>
        </w:rPr>
        <w:t>L</w:t>
      </w:r>
      <w:r w:rsidR="00812400" w:rsidRPr="00BE1EBA">
        <w:rPr>
          <w:rFonts w:ascii="Arial" w:hAnsi="Arial"/>
          <w:sz w:val="20"/>
        </w:rPr>
        <w:t>’</w:t>
      </w:r>
      <w:r w:rsidRPr="00BE1EBA">
        <w:rPr>
          <w:rFonts w:ascii="Arial" w:hAnsi="Arial"/>
          <w:sz w:val="20"/>
        </w:rPr>
        <w:t>installation électrique doit être faite de composants modulaires capables d</w:t>
      </w:r>
      <w:r w:rsidR="00812400" w:rsidRPr="00BE1EBA">
        <w:rPr>
          <w:rFonts w:ascii="Arial" w:hAnsi="Arial"/>
          <w:sz w:val="20"/>
        </w:rPr>
        <w:t>’</w:t>
      </w:r>
      <w:r w:rsidRPr="00BE1EBA">
        <w:rPr>
          <w:rFonts w:ascii="Arial" w:hAnsi="Arial"/>
          <w:sz w:val="20"/>
        </w:rPr>
        <w:t>alimenter en énergie certains endroits prédéterminés et pouvant être légèrement modifiés ou désassemblés sans démonter le poste de travail. Des accès par le plafond et le plancher ainsi qu</w:t>
      </w:r>
      <w:r w:rsidR="00812400" w:rsidRPr="00BE1EBA">
        <w:rPr>
          <w:rFonts w:ascii="Arial" w:hAnsi="Arial"/>
          <w:sz w:val="20"/>
        </w:rPr>
        <w:t>’</w:t>
      </w:r>
      <w:r w:rsidRPr="00BE1EBA">
        <w:rPr>
          <w:rFonts w:ascii="Arial" w:hAnsi="Arial"/>
          <w:sz w:val="20"/>
        </w:rPr>
        <w:t>une alimentation dans les murs sont requis. Les dispositifs d</w:t>
      </w:r>
      <w:r w:rsidR="00812400" w:rsidRPr="00BE1EBA">
        <w:rPr>
          <w:rFonts w:ascii="Arial" w:hAnsi="Arial"/>
          <w:sz w:val="20"/>
        </w:rPr>
        <w:t>’</w:t>
      </w:r>
      <w:r w:rsidRPr="00BE1EBA">
        <w:rPr>
          <w:rFonts w:ascii="Arial" w:hAnsi="Arial"/>
          <w:sz w:val="20"/>
        </w:rPr>
        <w:t>alimentation par le haut doivent être compatibles avec des plafonds d</w:t>
      </w:r>
      <w:r w:rsidR="00812400" w:rsidRPr="00BE1EBA">
        <w:rPr>
          <w:rFonts w:ascii="Arial" w:hAnsi="Arial"/>
          <w:sz w:val="20"/>
        </w:rPr>
        <w:t>’</w:t>
      </w:r>
      <w:r w:rsidRPr="00BE1EBA">
        <w:rPr>
          <w:rFonts w:ascii="Arial" w:hAnsi="Arial"/>
          <w:sz w:val="20"/>
        </w:rPr>
        <w:t>au moins 2743 mm (9 pi) de hauteur.</w:t>
      </w:r>
    </w:p>
    <w:p w:rsidR="00D07F21" w:rsidRPr="00BE1EBA" w:rsidRDefault="00D07F21" w:rsidP="00BB1DE2">
      <w:pPr>
        <w:pStyle w:val="BodyText"/>
        <w:ind w:left="1134" w:hanging="567"/>
        <w:rPr>
          <w:rFonts w:ascii="Arial" w:hAnsi="Arial" w:cs="Arial"/>
          <w:b/>
          <w:bCs/>
          <w:sz w:val="20"/>
        </w:rPr>
      </w:pPr>
      <w:r w:rsidRPr="00BE1EBA">
        <w:rPr>
          <w:rFonts w:ascii="Arial" w:hAnsi="Arial"/>
          <w:sz w:val="20"/>
        </w:rPr>
        <w:t>6.14.1</w:t>
      </w:r>
      <w:r w:rsidRPr="00BE1EBA">
        <w:tab/>
      </w:r>
      <w:r w:rsidRPr="00BE1EBA">
        <w:rPr>
          <w:rFonts w:ascii="Arial" w:hAnsi="Arial"/>
          <w:sz w:val="20"/>
        </w:rPr>
        <w:t>L</w:t>
      </w:r>
      <w:r w:rsidR="00812400" w:rsidRPr="00BE1EBA">
        <w:rPr>
          <w:rFonts w:ascii="Arial" w:hAnsi="Arial"/>
          <w:sz w:val="20"/>
        </w:rPr>
        <w:t>’</w:t>
      </w:r>
      <w:r w:rsidRPr="00BE1EBA">
        <w:rPr>
          <w:rFonts w:ascii="Arial" w:hAnsi="Arial"/>
          <w:sz w:val="20"/>
        </w:rPr>
        <w:t>installation électrique doit pouvoir alimenter, en électricité, neuf (9) postes de travail à partir d</w:t>
      </w:r>
      <w:r w:rsidR="00812400" w:rsidRPr="00BE1EBA">
        <w:rPr>
          <w:rFonts w:ascii="Arial" w:hAnsi="Arial"/>
          <w:sz w:val="20"/>
        </w:rPr>
        <w:t>’</w:t>
      </w:r>
      <w:r w:rsidRPr="00BE1EBA">
        <w:rPr>
          <w:rFonts w:ascii="Arial" w:hAnsi="Arial"/>
          <w:sz w:val="20"/>
        </w:rPr>
        <w:t>un point d</w:t>
      </w:r>
      <w:r w:rsidR="00812400" w:rsidRPr="00BE1EBA">
        <w:rPr>
          <w:rFonts w:ascii="Arial" w:hAnsi="Arial"/>
          <w:sz w:val="20"/>
        </w:rPr>
        <w:t>’</w:t>
      </w:r>
      <w:r w:rsidRPr="00BE1EBA">
        <w:rPr>
          <w:rFonts w:ascii="Arial" w:hAnsi="Arial"/>
          <w:sz w:val="20"/>
        </w:rPr>
        <w:t>alimentation central.</w:t>
      </w:r>
    </w:p>
    <w:p w:rsidR="00D07F21" w:rsidRPr="00BE1EBA" w:rsidRDefault="00D07F21" w:rsidP="00BB1DE2">
      <w:pPr>
        <w:ind w:left="1134" w:hanging="567"/>
        <w:rPr>
          <w:szCs w:val="20"/>
        </w:rPr>
      </w:pPr>
      <w:r w:rsidRPr="00BE1EBA">
        <w:t>6.14.2</w:t>
      </w:r>
      <w:r w:rsidRPr="00BE1EBA">
        <w:tab/>
        <w:t>L</w:t>
      </w:r>
      <w:r w:rsidR="00812400" w:rsidRPr="00BE1EBA">
        <w:t>’</w:t>
      </w:r>
      <w:r w:rsidRPr="00BE1EBA">
        <w:t>installation électrique doit avoir la capacité d</w:t>
      </w:r>
      <w:r w:rsidR="00812400" w:rsidRPr="00BE1EBA">
        <w:t>’</w:t>
      </w:r>
      <w:r w:rsidRPr="00BE1EBA">
        <w:t>alimenter au moins trois (3) circuits à sept (7) fils par alimentation</w:t>
      </w:r>
      <w:r w:rsidR="00EF7715" w:rsidRPr="00BE1EBA">
        <w:t xml:space="preserve">. </w:t>
      </w:r>
    </w:p>
    <w:p w:rsidR="00D07F21" w:rsidRPr="00BE1EBA" w:rsidRDefault="00D07F21" w:rsidP="00BB1DE2">
      <w:pPr>
        <w:ind w:left="1134" w:hanging="567"/>
        <w:rPr>
          <w:szCs w:val="20"/>
        </w:rPr>
      </w:pPr>
      <w:r w:rsidRPr="00BE1EBA">
        <w:lastRenderedPageBreak/>
        <w:t>6.14.3</w:t>
      </w:r>
      <w:r w:rsidRPr="00BE1EBA">
        <w:tab/>
        <w:t>Une installation électrique d</w:t>
      </w:r>
      <w:r w:rsidR="00812400" w:rsidRPr="00BE1EBA">
        <w:t>’</w:t>
      </w:r>
      <w:r w:rsidRPr="00BE1EBA">
        <w:t>au moins 115 V et 15 ou 20 A comprenant au moins deux (2) circuits devrait être offerte pour les bâtiments plus vieux, lorsque prescrit.</w:t>
      </w:r>
    </w:p>
    <w:p w:rsidR="00D07F21" w:rsidRPr="00BE1EBA" w:rsidRDefault="00D07F21" w:rsidP="00BB1DE2">
      <w:pPr>
        <w:ind w:left="1134" w:hanging="567"/>
        <w:rPr>
          <w:szCs w:val="20"/>
        </w:rPr>
      </w:pPr>
      <w:r w:rsidRPr="00BE1EBA">
        <w:t>6.14.4</w:t>
      </w:r>
      <w:r w:rsidRPr="00BE1EBA">
        <w:tab/>
        <w:t>Chaque poste de travail doit être doté de trois (3) prises électriques doubles (six (6) prises) et d</w:t>
      </w:r>
      <w:r w:rsidR="00812400" w:rsidRPr="00BE1EBA">
        <w:t>’</w:t>
      </w:r>
      <w:r w:rsidRPr="00BE1EBA">
        <w:t>une (1) prise voix et données.</w:t>
      </w:r>
    </w:p>
    <w:p w:rsidR="00D07F21" w:rsidRPr="00BE1EBA" w:rsidRDefault="00D07F21" w:rsidP="00BB1DE2">
      <w:pPr>
        <w:ind w:left="1134" w:hanging="567"/>
        <w:rPr>
          <w:szCs w:val="20"/>
        </w:rPr>
      </w:pPr>
      <w:r w:rsidRPr="00BE1EBA">
        <w:t>6.14.5</w:t>
      </w:r>
      <w:r w:rsidRPr="00BE1EBA">
        <w:tab/>
        <w:t>Prises : Les prises doivent être interchangeables à des endroits prédéterminés par le fabricant et accessibles à la hauteur de la surface de travail, en dessous et au­dessus de celle­ci.</w:t>
      </w:r>
    </w:p>
    <w:p w:rsidR="00D07F21" w:rsidRPr="00BE1EBA" w:rsidRDefault="00D07F21" w:rsidP="00BB1DE2">
      <w:pPr>
        <w:ind w:left="1134" w:hanging="567"/>
        <w:rPr>
          <w:szCs w:val="20"/>
        </w:rPr>
      </w:pPr>
      <w:r w:rsidRPr="00BE1EBA">
        <w:t>6.14.6</w:t>
      </w:r>
      <w:r w:rsidRPr="00BE1EBA">
        <w:tab/>
        <w:t>L</w:t>
      </w:r>
      <w:r w:rsidR="00812400" w:rsidRPr="00BE1EBA">
        <w:t>’</w:t>
      </w:r>
      <w:r w:rsidRPr="00BE1EBA">
        <w:t>installation électrique et tous ses composants doivent être conformes aux exigences de la norme CSA</w:t>
      </w:r>
      <w:r w:rsidR="003262E1" w:rsidRPr="00BE1EBA">
        <w:t>­</w:t>
      </w:r>
      <w:r w:rsidRPr="00BE1EBA">
        <w:t>C22.2 N</w:t>
      </w:r>
      <w:r w:rsidRPr="00BE1EBA">
        <w:rPr>
          <w:vertAlign w:val="superscript"/>
        </w:rPr>
        <w:t>o</w:t>
      </w:r>
      <w:r w:rsidRPr="00BE1EBA">
        <w:t xml:space="preserve"> 203</w:t>
      </w:r>
      <w:r w:rsidR="003262E1" w:rsidRPr="00BE1EBA">
        <w:t>­</w:t>
      </w:r>
      <w:r w:rsidRPr="00BE1EBA">
        <w:t xml:space="preserve">M91 (C2010), Câblage modulaire pour ameublement de bureau. </w:t>
      </w:r>
    </w:p>
    <w:p w:rsidR="00D07F21" w:rsidRPr="00BE1EBA" w:rsidRDefault="00D07F21" w:rsidP="00D07F21">
      <w:pPr>
        <w:tabs>
          <w:tab w:val="left" w:pos="709"/>
        </w:tabs>
        <w:ind w:left="709" w:hanging="709"/>
        <w:rPr>
          <w:b/>
          <w:szCs w:val="20"/>
        </w:rPr>
      </w:pPr>
      <w:r w:rsidRPr="00BE1EBA">
        <w:rPr>
          <w:b/>
        </w:rPr>
        <w:t>Surfaces de travail soutenues par les cloisons</w:t>
      </w:r>
    </w:p>
    <w:p w:rsidR="00D07F21" w:rsidRPr="00BE1EBA" w:rsidRDefault="00D07F21" w:rsidP="00CC45D7">
      <w:pPr>
        <w:tabs>
          <w:tab w:val="left" w:pos="567"/>
        </w:tabs>
        <w:ind w:left="567" w:hanging="567"/>
        <w:rPr>
          <w:szCs w:val="20"/>
        </w:rPr>
      </w:pPr>
      <w:r w:rsidRPr="00BE1EBA">
        <w:t>6.15</w:t>
      </w:r>
      <w:r w:rsidRPr="00BE1EBA">
        <w:tab/>
        <w:t>La tolérance indiquée dans le Catalogue de produits du gouvernement du Canada pour la largeur des surfaces de travail est de ± 25,4 mm (1 po) et celle pour la profondeur est de ± 13 mm (0,5 po).</w:t>
      </w:r>
    </w:p>
    <w:p w:rsidR="00D07F21" w:rsidRPr="00BE1EBA" w:rsidRDefault="00D07F21" w:rsidP="00CC45D7">
      <w:pPr>
        <w:tabs>
          <w:tab w:val="left" w:pos="567"/>
        </w:tabs>
        <w:ind w:left="567" w:hanging="567"/>
        <w:rPr>
          <w:szCs w:val="20"/>
        </w:rPr>
      </w:pPr>
      <w:r w:rsidRPr="00BE1EBA">
        <w:t>6.16</w:t>
      </w:r>
      <w:r w:rsidRPr="00BE1EBA">
        <w:tab/>
        <w:t>Les surfaces de travail doivent être offertes dans les configurations suivantes : surface de travail soutenue par les cloisons et/ou combinaison d</w:t>
      </w:r>
      <w:r w:rsidR="00812400" w:rsidRPr="00BE1EBA">
        <w:t>’</w:t>
      </w:r>
      <w:r w:rsidRPr="00BE1EBA">
        <w:t>une surface de travail soutenue par les cloisons et d</w:t>
      </w:r>
      <w:r w:rsidR="00812400" w:rsidRPr="00BE1EBA">
        <w:t>’</w:t>
      </w:r>
      <w:r w:rsidRPr="00BE1EBA">
        <w:t>une surface de travail autostable (non soutenue par la cloison).</w:t>
      </w:r>
    </w:p>
    <w:p w:rsidR="00D07F21" w:rsidRPr="00BE1EBA" w:rsidRDefault="00D07F21" w:rsidP="00CC45D7">
      <w:pPr>
        <w:tabs>
          <w:tab w:val="left" w:pos="567"/>
        </w:tabs>
        <w:ind w:left="567" w:hanging="567"/>
        <w:rPr>
          <w:szCs w:val="20"/>
        </w:rPr>
      </w:pPr>
      <w:r w:rsidRPr="00BE1EBA">
        <w:t>6.17</w:t>
      </w:r>
      <w:r w:rsidRPr="00BE1EBA">
        <w:tab/>
        <w:t>Des composants hors module doivent permettre d</w:t>
      </w:r>
      <w:r w:rsidR="00812400" w:rsidRPr="00BE1EBA">
        <w:t>’</w:t>
      </w:r>
      <w:r w:rsidRPr="00BE1EBA">
        <w:t>installer une surface de travail soutenue par les cloisons à n</w:t>
      </w:r>
      <w:r w:rsidR="00812400" w:rsidRPr="00BE1EBA">
        <w:t>’</w:t>
      </w:r>
      <w:r w:rsidRPr="00BE1EBA">
        <w:t>importe quel point sur toute la largeur de la cloison.</w:t>
      </w:r>
    </w:p>
    <w:p w:rsidR="00D07F21" w:rsidRPr="00BE1EBA" w:rsidRDefault="00D07F21" w:rsidP="00D07F21">
      <w:pPr>
        <w:pStyle w:val="BodyTextIndent2"/>
        <w:tabs>
          <w:tab w:val="left" w:pos="709"/>
        </w:tabs>
        <w:overflowPunct/>
        <w:autoSpaceDE/>
        <w:autoSpaceDN/>
        <w:adjustRightInd/>
        <w:spacing w:after="0" w:line="240" w:lineRule="auto"/>
        <w:ind w:left="709" w:hanging="709"/>
        <w:textAlignment w:val="auto"/>
        <w:rPr>
          <w:rFonts w:ascii="Arial" w:hAnsi="Arial" w:cs="Arial"/>
          <w:b/>
        </w:rPr>
      </w:pPr>
      <w:r w:rsidRPr="00BE1EBA">
        <w:rPr>
          <w:rFonts w:ascii="Arial" w:hAnsi="Arial"/>
          <w:b/>
        </w:rPr>
        <w:t>Surfaces de transaction soutenues par les cloisons</w:t>
      </w:r>
    </w:p>
    <w:p w:rsidR="00D07F21" w:rsidRPr="00BE1EBA" w:rsidRDefault="00D07F21" w:rsidP="00984A68">
      <w:pPr>
        <w:pStyle w:val="BodyTextIndent2"/>
        <w:tabs>
          <w:tab w:val="left" w:pos="567"/>
        </w:tabs>
        <w:overflowPunct/>
        <w:autoSpaceDE/>
        <w:autoSpaceDN/>
        <w:adjustRightInd/>
        <w:spacing w:after="0" w:line="240" w:lineRule="auto"/>
        <w:ind w:left="567" w:hanging="567"/>
        <w:textAlignment w:val="auto"/>
        <w:rPr>
          <w:rFonts w:ascii="Arial" w:hAnsi="Arial" w:cs="Arial"/>
        </w:rPr>
      </w:pPr>
      <w:r w:rsidRPr="00BE1EBA">
        <w:rPr>
          <w:rFonts w:ascii="Arial" w:hAnsi="Arial"/>
        </w:rPr>
        <w:t>6.18</w:t>
      </w:r>
      <w:r w:rsidRPr="00BE1EBA">
        <w:tab/>
      </w:r>
      <w:r w:rsidRPr="00BE1EBA">
        <w:rPr>
          <w:rFonts w:ascii="Arial" w:hAnsi="Arial"/>
        </w:rPr>
        <w:t>La largeur de la surface de transaction soutenue par les cloisons doit varier de 457 mm (18 po) à 1520 mm (60 po) et sa profondeur, de 305 mm (12 po) à 432 mm (17 po).</w:t>
      </w:r>
    </w:p>
    <w:p w:rsidR="00D07F21" w:rsidRPr="00BE1EBA" w:rsidRDefault="00D07F21" w:rsidP="00CC45D7">
      <w:pPr>
        <w:pStyle w:val="ModlesEn-tte3"/>
      </w:pPr>
      <w:bookmarkStart w:id="88" w:name="_Toc412634833"/>
      <w:r w:rsidRPr="00BE1EBA">
        <w:t>Accessoires pour cloisons</w:t>
      </w:r>
      <w:bookmarkEnd w:id="88"/>
    </w:p>
    <w:p w:rsidR="00D07F21" w:rsidRPr="00643669" w:rsidRDefault="00D07F21" w:rsidP="00643669">
      <w:pPr>
        <w:ind w:left="567" w:hanging="567"/>
        <w:rPr>
          <w:b/>
          <w:bCs/>
        </w:rPr>
      </w:pPr>
      <w:r w:rsidRPr="00BE1EBA">
        <w:t>6.19</w:t>
      </w:r>
      <w:r w:rsidRPr="00BE1EBA">
        <w:tab/>
        <w:t>Les accessoires soutenus par les cloisons doivent être intégrés au cadre de la cloison ou fixés séparément à la cloison. La largeur des accessoires doit correspondre à celle de la cloison.</w:t>
      </w:r>
    </w:p>
    <w:p w:rsidR="00D07F21" w:rsidRPr="00BE1EBA" w:rsidRDefault="00D07F21" w:rsidP="00CC45D7">
      <w:pPr>
        <w:ind w:left="567" w:hanging="567"/>
      </w:pPr>
      <w:r w:rsidRPr="00BE1EBA">
        <w:t>6.20</w:t>
      </w:r>
      <w:r w:rsidRPr="00BE1EBA">
        <w:tab/>
      </w:r>
      <w:r w:rsidRPr="00BE1EBA">
        <w:rPr>
          <w:caps/>
        </w:rPr>
        <w:t>L</w:t>
      </w:r>
      <w:r w:rsidRPr="00BE1EBA">
        <w:t>es rails pour accessoires, les surfaces punaisables et les tableaux blancs doivent être installés au</w:t>
      </w:r>
      <w:r w:rsidR="003262E1" w:rsidRPr="00BE1EBA">
        <w:t>­</w:t>
      </w:r>
      <w:r w:rsidRPr="00BE1EBA">
        <w:t>dessus de la surface de travail, et leur hauteur doit correspondre à la hauteur des cloisons assurant l</w:t>
      </w:r>
      <w:r w:rsidR="00812400" w:rsidRPr="00BE1EBA">
        <w:t>’</w:t>
      </w:r>
      <w:r w:rsidRPr="00BE1EBA">
        <w:t>intimité au niveau de la surface de travail et des cloisons offrant une intimité en position assise.</w:t>
      </w:r>
    </w:p>
    <w:p w:rsidR="00D07F21" w:rsidRPr="00BE1EBA" w:rsidRDefault="00D07F21" w:rsidP="00CC45D7">
      <w:pPr>
        <w:ind w:left="567" w:hanging="567"/>
      </w:pPr>
      <w:r w:rsidRPr="00BE1EBA">
        <w:rPr>
          <w:caps/>
        </w:rPr>
        <w:t>6.21</w:t>
      </w:r>
      <w:r w:rsidRPr="00BE1EBA">
        <w:tab/>
        <w:t>Les accessoires montés sur rail doivent être faits de métal ou de plastique rigide et, à tout le moins, comprendre un classeur mural, un panier, un bac et un support de téléphone.</w:t>
      </w:r>
    </w:p>
    <w:p w:rsidR="00D07F21" w:rsidRPr="00BE1EBA" w:rsidRDefault="00D07F21" w:rsidP="00CC45D7">
      <w:pPr>
        <w:ind w:left="567" w:hanging="567"/>
      </w:pPr>
      <w:r w:rsidRPr="00BE1EBA">
        <w:t>6.22</w:t>
      </w:r>
      <w:r w:rsidRPr="00BE1EBA">
        <w:tab/>
        <w:t>Les surfaces punaisables doivent être revêtues de tissu.</w:t>
      </w:r>
    </w:p>
    <w:p w:rsidR="00D07F21" w:rsidRPr="00BE1EBA" w:rsidRDefault="00D07F21" w:rsidP="00CC45D7">
      <w:pPr>
        <w:ind w:left="567" w:hanging="567"/>
      </w:pPr>
      <w:r w:rsidRPr="00BE1EBA">
        <w:t>6.23</w:t>
      </w:r>
      <w:r w:rsidRPr="00BE1EBA">
        <w:tab/>
        <w:t>Des panneaux d</w:t>
      </w:r>
      <w:r w:rsidR="00812400" w:rsidRPr="00BE1EBA">
        <w:t>’</w:t>
      </w:r>
      <w:r w:rsidRPr="00BE1EBA">
        <w:t>intimité doivent pouvoir être fixés sur le dessus des cloisons.</w:t>
      </w:r>
    </w:p>
    <w:p w:rsidR="00D07F21" w:rsidRPr="00BE1EBA" w:rsidRDefault="00D07F21" w:rsidP="00CC45D7">
      <w:pPr>
        <w:ind w:left="1134" w:hanging="567"/>
        <w:rPr>
          <w:caps/>
        </w:rPr>
      </w:pPr>
      <w:r w:rsidRPr="00BE1EBA">
        <w:t>6.23.1</w:t>
      </w:r>
      <w:r w:rsidRPr="00BE1EBA">
        <w:tab/>
        <w:t>Lorsque les panneaux d</w:t>
      </w:r>
      <w:r w:rsidR="00812400" w:rsidRPr="00BE1EBA">
        <w:t>’</w:t>
      </w:r>
      <w:r w:rsidRPr="00BE1EBA">
        <w:t>intimité sont enlevés, la quincaillerie de fixation ne doit pas endommager les cloisons.</w:t>
      </w:r>
    </w:p>
    <w:p w:rsidR="00D07F21" w:rsidRPr="00BE1EBA" w:rsidRDefault="00D07F21" w:rsidP="00CC45D7">
      <w:pPr>
        <w:tabs>
          <w:tab w:val="left" w:pos="1134"/>
        </w:tabs>
        <w:ind w:left="1134" w:hanging="567"/>
        <w:rPr>
          <w:szCs w:val="20"/>
        </w:rPr>
      </w:pPr>
      <w:r w:rsidRPr="00BE1EBA">
        <w:t>6.23.2</w:t>
      </w:r>
      <w:r w:rsidRPr="00BE1EBA">
        <w:tab/>
        <w:t>Les panneaux d</w:t>
      </w:r>
      <w:r w:rsidR="00812400" w:rsidRPr="00BE1EBA">
        <w:t>’</w:t>
      </w:r>
      <w:r w:rsidRPr="00BE1EBA">
        <w:t>intimité doivent être fixés sur le dessus des cloisons.</w:t>
      </w:r>
    </w:p>
    <w:p w:rsidR="00D07F21" w:rsidRPr="00BE1EBA" w:rsidRDefault="00D07F21" w:rsidP="00CC45D7">
      <w:pPr>
        <w:tabs>
          <w:tab w:val="left" w:pos="1418"/>
        </w:tabs>
        <w:ind w:left="1134" w:hanging="567"/>
        <w:rPr>
          <w:szCs w:val="20"/>
        </w:rPr>
      </w:pPr>
      <w:r w:rsidRPr="00BE1EBA">
        <w:t>6.23.3</w:t>
      </w:r>
      <w:r w:rsidRPr="00BE1EBA">
        <w:tab/>
        <w:t>Il n</w:t>
      </w:r>
      <w:r w:rsidR="00812400" w:rsidRPr="00BE1EBA">
        <w:t>’</w:t>
      </w:r>
      <w:r w:rsidRPr="00BE1EBA">
        <w:t>est pas nécessaire que la quincaillerie de fixation des panneaux d</w:t>
      </w:r>
      <w:r w:rsidR="00812400" w:rsidRPr="00BE1EBA">
        <w:t>’</w:t>
      </w:r>
      <w:r w:rsidRPr="00BE1EBA">
        <w:t>intimité sur les cloisons soit dissimulée.</w:t>
      </w:r>
    </w:p>
    <w:p w:rsidR="00D07F21" w:rsidRPr="00BE1EBA" w:rsidRDefault="00D07F21" w:rsidP="00CC45D7">
      <w:pPr>
        <w:pStyle w:val="ModlesEn-tte3"/>
      </w:pPr>
      <w:bookmarkStart w:id="89" w:name="_Toc412634834"/>
      <w:r w:rsidRPr="00BE1EBA">
        <w:t>6.24</w:t>
      </w:r>
      <w:r w:rsidRPr="00BE1EBA">
        <w:tab/>
        <w:t>Armoires et éléments de rangement supérieurs soutenus par les cloisons</w:t>
      </w:r>
      <w:bookmarkEnd w:id="89"/>
    </w:p>
    <w:p w:rsidR="00D07F21" w:rsidRPr="00BE1EBA" w:rsidRDefault="00D07F21" w:rsidP="00CC45D7">
      <w:pPr>
        <w:ind w:left="1134" w:hanging="567"/>
      </w:pPr>
      <w:r w:rsidRPr="00BE1EBA">
        <w:t>6.24.1</w:t>
      </w:r>
      <w:r w:rsidRPr="00BE1EBA">
        <w:tab/>
        <w:t xml:space="preserve">Les éléments de rangement supérieurs ouverts et fermés soutenus par les cloisons doivent pouvoir être montés sur une cloison, un mur et le haut de la cloison. </w:t>
      </w:r>
    </w:p>
    <w:p w:rsidR="00D07F21" w:rsidRPr="00BE1EBA" w:rsidRDefault="00D07F21" w:rsidP="00CC45D7">
      <w:pPr>
        <w:ind w:left="1134" w:hanging="567"/>
      </w:pPr>
      <w:r w:rsidRPr="00BE1EBA">
        <w:t>6.24.2</w:t>
      </w:r>
      <w:r w:rsidRPr="00BE1EBA">
        <w:tab/>
        <w:t>Lorsque l</w:t>
      </w:r>
      <w:r w:rsidR="00812400" w:rsidRPr="00BE1EBA">
        <w:t>’</w:t>
      </w:r>
      <w:r w:rsidRPr="00BE1EBA">
        <w:t>arrière d</w:t>
      </w:r>
      <w:r w:rsidR="00812400" w:rsidRPr="00BE1EBA">
        <w:t>’</w:t>
      </w:r>
      <w:r w:rsidRPr="00BE1EBA">
        <w:t>un élément de rangement supérieur n</w:t>
      </w:r>
      <w:r w:rsidR="00812400" w:rsidRPr="00BE1EBA">
        <w:t>’</w:t>
      </w:r>
      <w:r w:rsidRPr="00BE1EBA">
        <w:t>est pas complètement fermé, il faut prévoir un moyen d</w:t>
      </w:r>
      <w:r w:rsidR="00812400" w:rsidRPr="00BE1EBA">
        <w:t>’</w:t>
      </w:r>
      <w:r w:rsidRPr="00BE1EBA">
        <w:t>empêcher la chute d</w:t>
      </w:r>
      <w:r w:rsidR="00812400" w:rsidRPr="00BE1EBA">
        <w:t>’</w:t>
      </w:r>
      <w:r w:rsidRPr="00BE1EBA">
        <w:t>articles.</w:t>
      </w:r>
    </w:p>
    <w:p w:rsidR="00D07F21" w:rsidRPr="00BE1EBA" w:rsidRDefault="00D07F21" w:rsidP="00CC45D7">
      <w:pPr>
        <w:ind w:left="1134" w:hanging="567"/>
      </w:pPr>
      <w:r w:rsidRPr="00BE1EBA">
        <w:t>6.24.3</w:t>
      </w:r>
      <w:r w:rsidRPr="00BE1EBA">
        <w:tab/>
        <w:t>Les portes des éléments de rangement supérieurs doivent être coulissantes ou escamotables sur le dessus.</w:t>
      </w:r>
    </w:p>
    <w:p w:rsidR="00D07F21" w:rsidRPr="008F2713" w:rsidRDefault="00D07F21" w:rsidP="008F2713">
      <w:pPr>
        <w:ind w:left="1134" w:hanging="567"/>
      </w:pPr>
      <w:r w:rsidRPr="00BE1EBA">
        <w:lastRenderedPageBreak/>
        <w:t>6.24.4</w:t>
      </w:r>
      <w:r w:rsidRPr="00BE1EBA">
        <w:tab/>
        <w:t>Les éléments de rangement supérieurs et les tablettes soutenus par les cloisons doivent permettre d</w:t>
      </w:r>
      <w:r w:rsidR="00812400" w:rsidRPr="00BE1EBA">
        <w:t>’</w:t>
      </w:r>
      <w:r w:rsidRPr="00BE1EBA">
        <w:t>installer un appareil d</w:t>
      </w:r>
      <w:r w:rsidR="00812400" w:rsidRPr="00BE1EBA">
        <w:t>’</w:t>
      </w:r>
      <w:r w:rsidRPr="00BE1EBA">
        <w:t>éclairage localisé indépendant sur le dessous.</w:t>
      </w:r>
    </w:p>
    <w:p w:rsidR="00D07F21" w:rsidRPr="00BE1EBA" w:rsidRDefault="00D07F21" w:rsidP="00E42C32">
      <w:pPr>
        <w:pStyle w:val="ModlesEn-tte3"/>
      </w:pPr>
      <w:bookmarkStart w:id="90" w:name="_Toc412634835"/>
      <w:r w:rsidRPr="00BE1EBA">
        <w:t>7.0</w:t>
      </w:r>
      <w:r w:rsidRPr="00BE1EBA">
        <w:tab/>
        <w:t>EXIGENCES PARTICULIÈRES</w:t>
      </w:r>
      <w:r w:rsidR="002A6210" w:rsidRPr="00BE1EBA">
        <w:t xml:space="preserve"> – </w:t>
      </w:r>
      <w:r w:rsidRPr="00BE1EBA">
        <w:t>Catégories 1 et 4</w:t>
      </w:r>
      <w:r w:rsidR="002A6210" w:rsidRPr="00BE1EBA">
        <w:t xml:space="preserve"> – </w:t>
      </w:r>
      <w:r w:rsidRPr="00BE1EBA">
        <w:t>Mobilier autostable à hauteur fixe et éléments de rangement – stratifiés, métal peint et placage de bois</w:t>
      </w:r>
      <w:bookmarkEnd w:id="90"/>
      <w:r w:rsidRPr="00BE1EBA">
        <w:t xml:space="preserve"> </w:t>
      </w:r>
    </w:p>
    <w:p w:rsidR="00D07F21" w:rsidRPr="00BE1EBA" w:rsidRDefault="00D07F21" w:rsidP="00D07F21">
      <w:pPr>
        <w:rPr>
          <w:b/>
          <w:szCs w:val="20"/>
        </w:rPr>
      </w:pPr>
      <w:r w:rsidRPr="00BE1EBA">
        <w:rPr>
          <w:b/>
        </w:rPr>
        <w:t xml:space="preserve">Surfaces de travail à hauteur fixe </w:t>
      </w:r>
    </w:p>
    <w:p w:rsidR="00D07F21" w:rsidRPr="00BE1EBA" w:rsidRDefault="00D07F21" w:rsidP="003354CD">
      <w:pPr>
        <w:ind w:left="567" w:hanging="567"/>
        <w:rPr>
          <w:szCs w:val="20"/>
        </w:rPr>
      </w:pPr>
      <w:r w:rsidRPr="00BE1EBA">
        <w:t>7.1</w:t>
      </w:r>
      <w:r w:rsidRPr="00BE1EBA">
        <w:tab/>
        <w:t xml:space="preserve">Les surfaces de travail à hauteur fixe doivent être autostables et intégrées aux éléments de rangement. </w:t>
      </w:r>
    </w:p>
    <w:p w:rsidR="00D07F21" w:rsidRPr="00BE1EBA" w:rsidRDefault="00D07F21" w:rsidP="003354CD">
      <w:pPr>
        <w:ind w:left="1134" w:hanging="567"/>
      </w:pPr>
      <w:r w:rsidRPr="00BE1EBA">
        <w:t>7.1.1</w:t>
      </w:r>
      <w:r w:rsidRPr="00BE1EBA">
        <w:tab/>
        <w:t>La tolérance indiquée dans le Catalogue de produits du gouvernement du Canada pour la largeur de toutes les surfaces de travail est de ± 25,4 mm (1 po).</w:t>
      </w:r>
    </w:p>
    <w:p w:rsidR="00D07F21" w:rsidRPr="00BE1EBA" w:rsidRDefault="00D07F21" w:rsidP="008F2713">
      <w:pPr>
        <w:ind w:left="1134" w:hanging="567"/>
      </w:pPr>
      <w:r w:rsidRPr="00BE1EBA">
        <w:t>7.1.3</w:t>
      </w:r>
      <w:r w:rsidRPr="00BE1EBA">
        <w:tab/>
        <w:t>La tolérance indiquée dans le Catalogue de produits du gouvernement du Canada pour la profondeur de toutes les surfaces de travail est de ± 13 mm (0,5 po).</w:t>
      </w:r>
    </w:p>
    <w:p w:rsidR="00D07F21" w:rsidRPr="00BE1EBA" w:rsidRDefault="00E42C32" w:rsidP="00D07F21">
      <w:pPr>
        <w:pStyle w:val="DefaultText1"/>
        <w:shd w:val="clear" w:color="auto" w:fill="FFFFFF"/>
        <w:ind w:left="720" w:hanging="720"/>
      </w:pPr>
      <w:r w:rsidRPr="00BE1EBA">
        <w:t>7.2 Les surfaces de travail à hauteur fixe doivent être dotées d</w:t>
      </w:r>
      <w:r w:rsidR="00812400" w:rsidRPr="00BE1EBA">
        <w:t>’</w:t>
      </w:r>
      <w:r w:rsidRPr="00BE1EBA">
        <w:t xml:space="preserve">un panneau de fond. </w:t>
      </w:r>
    </w:p>
    <w:p w:rsidR="00D07F21" w:rsidRPr="00BE1EBA" w:rsidRDefault="00D07F21" w:rsidP="00D522D0">
      <w:pPr>
        <w:ind w:left="1134" w:hanging="567"/>
        <w:rPr>
          <w:strike/>
          <w:szCs w:val="20"/>
        </w:rPr>
      </w:pPr>
      <w:r w:rsidRPr="00BE1EBA">
        <w:t>7.2.1</w:t>
      </w:r>
      <w:r w:rsidRPr="00BE1EBA">
        <w:tab/>
        <w:t>Le panneau de fond ne doit pas empêcher l</w:t>
      </w:r>
      <w:r w:rsidR="00812400" w:rsidRPr="00BE1EBA">
        <w:t>’</w:t>
      </w:r>
      <w:r w:rsidRPr="00BE1EBA">
        <w:t>accès aux prises murales ni entraver les supports des surfaces de travail et l</w:t>
      </w:r>
      <w:r w:rsidR="00812400" w:rsidRPr="00BE1EBA">
        <w:t>’</w:t>
      </w:r>
      <w:r w:rsidRPr="00BE1EBA">
        <w:t>accès aux prises électriques et aux prises de données.</w:t>
      </w:r>
    </w:p>
    <w:p w:rsidR="00D07F21" w:rsidRPr="00BE1EBA" w:rsidRDefault="00D07F21" w:rsidP="00D522D0">
      <w:pPr>
        <w:ind w:left="1134" w:hanging="567"/>
        <w:rPr>
          <w:szCs w:val="20"/>
        </w:rPr>
      </w:pPr>
      <w:r w:rsidRPr="00BE1EBA">
        <w:t>7.2.2</w:t>
      </w:r>
      <w:r w:rsidRPr="00BE1EBA">
        <w:tab/>
        <w:t>Le panneau de fond doit avoir la même largeur que la surface de travail.</w:t>
      </w:r>
    </w:p>
    <w:p w:rsidR="00D07F21" w:rsidRPr="00BE1EBA" w:rsidRDefault="00D07F21" w:rsidP="00D522D0">
      <w:pPr>
        <w:ind w:left="1134" w:hanging="567"/>
        <w:rPr>
          <w:szCs w:val="20"/>
        </w:rPr>
      </w:pPr>
      <w:r w:rsidRPr="00BE1EBA">
        <w:t>7.2.3</w:t>
      </w:r>
      <w:r w:rsidRPr="00BE1EBA">
        <w:tab/>
        <w:t>La hauteur du panneau de fond doit maintenir un dégagement entre le panneau et le plancher pour passer les câbles des prises électriques et des prises de données murales jusqu</w:t>
      </w:r>
      <w:r w:rsidR="00812400" w:rsidRPr="00BE1EBA">
        <w:t>’</w:t>
      </w:r>
      <w:r w:rsidRPr="00BE1EBA">
        <w:t>à l</w:t>
      </w:r>
      <w:r w:rsidR="00812400" w:rsidRPr="00BE1EBA">
        <w:t>’</w:t>
      </w:r>
      <w:r w:rsidRPr="00BE1EBA">
        <w:t>équipement.</w:t>
      </w:r>
    </w:p>
    <w:p w:rsidR="00D07F21" w:rsidRPr="00BE1EBA" w:rsidRDefault="00D07F21" w:rsidP="00D522D0">
      <w:pPr>
        <w:ind w:left="1134" w:hanging="567"/>
        <w:rPr>
          <w:szCs w:val="20"/>
        </w:rPr>
      </w:pPr>
      <w:r w:rsidRPr="00BE1EBA">
        <w:t>7.2.4</w:t>
      </w:r>
      <w:r w:rsidRPr="00BE1EBA">
        <w:tab/>
        <w:t>Le panneau de fond doit être installé d</w:t>
      </w:r>
      <w:r w:rsidR="00812400" w:rsidRPr="00BE1EBA">
        <w:t>’</w:t>
      </w:r>
      <w:r w:rsidRPr="00BE1EBA">
        <w:t>affleurement avec le bord arrière de la surface de travail ou en retrait.</w:t>
      </w:r>
    </w:p>
    <w:p w:rsidR="00D07F21" w:rsidRPr="00BE1EBA" w:rsidRDefault="00D07F21" w:rsidP="00D07F21">
      <w:pPr>
        <w:pStyle w:val="DefaultText1"/>
        <w:shd w:val="clear" w:color="auto" w:fill="FFFFFF"/>
        <w:rPr>
          <w:b/>
          <w:bCs/>
        </w:rPr>
      </w:pPr>
      <w:r w:rsidRPr="00BE1EBA">
        <w:rPr>
          <w:b/>
        </w:rPr>
        <w:t>Éléments de rangement</w:t>
      </w:r>
    </w:p>
    <w:p w:rsidR="00D07F21" w:rsidRPr="00BE1EBA" w:rsidRDefault="00D07F21" w:rsidP="00E766B4">
      <w:pPr>
        <w:pStyle w:val="DefaultText1"/>
        <w:ind w:left="567" w:hanging="567"/>
      </w:pPr>
      <w:r w:rsidRPr="00BE1EBA">
        <w:t>7.3</w:t>
      </w:r>
      <w:r w:rsidRPr="00BE1EBA">
        <w:tab/>
        <w:t>Les éléments de rangement comprennent les caissons, les éléments de rangement inférieurs ou les bahuts, les éléments de rangement ou les huches, les classeurs latéraux à deux tiroirs, les penderies et les armoires de rangement d</w:t>
      </w:r>
      <w:r w:rsidR="00812400" w:rsidRPr="00BE1EBA">
        <w:t>’</w:t>
      </w:r>
      <w:r w:rsidRPr="00BE1EBA">
        <w:t>effets personnels.</w:t>
      </w:r>
    </w:p>
    <w:p w:rsidR="00D07F21" w:rsidRPr="00BE1EBA" w:rsidRDefault="00D07F21" w:rsidP="00E766B4">
      <w:pPr>
        <w:pStyle w:val="DefaultText1"/>
        <w:shd w:val="clear" w:color="auto" w:fill="FFFFFF"/>
        <w:ind w:left="1134" w:hanging="567"/>
      </w:pPr>
      <w:r w:rsidRPr="00BE1EBA">
        <w:t xml:space="preserve">7.3.1 </w:t>
      </w:r>
      <w:r w:rsidRPr="00BE1EBA">
        <w:tab/>
        <w:t xml:space="preserve">Des coussins doivent être fournis pour les caissons, les éléments de rangement inférieurs, les bahuts et les classeurs latéraux à deux (2) tiroirs. </w:t>
      </w:r>
    </w:p>
    <w:p w:rsidR="00D07F21" w:rsidRPr="00BE1EBA" w:rsidRDefault="00D07F21" w:rsidP="00E766B4">
      <w:pPr>
        <w:pStyle w:val="DefaultText1"/>
        <w:shd w:val="clear" w:color="auto" w:fill="FFFFFF"/>
        <w:ind w:left="1134" w:hanging="567"/>
        <w:rPr>
          <w:bCs/>
        </w:rPr>
      </w:pPr>
      <w:r w:rsidRPr="00BE1EBA">
        <w:t>7.3.2</w:t>
      </w:r>
      <w:r w:rsidRPr="00BE1EBA">
        <w:tab/>
        <w:t>Le dessus et les côtés des éléments de rangement doivent présenter une surface finie, à moins qu</w:t>
      </w:r>
      <w:r w:rsidR="00812400" w:rsidRPr="00BE1EBA">
        <w:t>’</w:t>
      </w:r>
      <w:r w:rsidRPr="00BE1EBA">
        <w:t>ils ne soutiennent un caisson dont la surface supérieure ne requiert pas de fini.</w:t>
      </w:r>
    </w:p>
    <w:p w:rsidR="00D07F21" w:rsidRPr="00BE1EBA" w:rsidRDefault="00D07F21" w:rsidP="00E766B4">
      <w:pPr>
        <w:pStyle w:val="DefaultText1"/>
        <w:shd w:val="clear" w:color="auto" w:fill="FFFFFF"/>
        <w:ind w:left="1134" w:hanging="567"/>
        <w:rPr>
          <w:bCs/>
        </w:rPr>
      </w:pPr>
      <w:r w:rsidRPr="00BE1EBA">
        <w:t>7.3.3</w:t>
      </w:r>
      <w:r w:rsidRPr="00BE1EBA">
        <w:tab/>
        <w:t>Tous les compartiments fermés d</w:t>
      </w:r>
      <w:r w:rsidR="00812400" w:rsidRPr="00BE1EBA">
        <w:t>’</w:t>
      </w:r>
      <w:r w:rsidRPr="00BE1EBA">
        <w:t xml:space="preserve">un élément de rangement doivent se verrouiller. </w:t>
      </w:r>
    </w:p>
    <w:p w:rsidR="00D07F21" w:rsidRPr="00BE1EBA" w:rsidRDefault="00D07F21" w:rsidP="00E766B4">
      <w:pPr>
        <w:pStyle w:val="DefaultText1"/>
        <w:shd w:val="clear" w:color="auto" w:fill="FFFFFF"/>
        <w:tabs>
          <w:tab w:val="left" w:pos="709"/>
        </w:tabs>
        <w:ind w:left="1134" w:hanging="567"/>
        <w:rPr>
          <w:bCs/>
        </w:rPr>
      </w:pPr>
      <w:r w:rsidRPr="00BE1EBA">
        <w:t>7.3.4</w:t>
      </w:r>
      <w:r w:rsidRPr="00BE1EBA">
        <w:tab/>
        <w:t>Les éléments de rangement inférieurs ou les bahuts et les éléments de rangement supérieurs ou les huches doivent avoir des configurations à ouverture d</w:t>
      </w:r>
      <w:r w:rsidR="00812400" w:rsidRPr="00BE1EBA">
        <w:t>’</w:t>
      </w:r>
      <w:r w:rsidRPr="00BE1EBA">
        <w:t>un seul côté et des deux côtés (partagés). L</w:t>
      </w:r>
      <w:r w:rsidR="00812400" w:rsidRPr="00BE1EBA">
        <w:t>’</w:t>
      </w:r>
      <w:r w:rsidRPr="00BE1EBA">
        <w:t>ouverture des deux côtés doit être réalisée en ajoutant des éléments additionnels</w:t>
      </w:r>
      <w:r w:rsidR="00EF7715" w:rsidRPr="00BE1EBA">
        <w:t xml:space="preserve">. </w:t>
      </w:r>
    </w:p>
    <w:p w:rsidR="00D07F21" w:rsidRPr="00BE1EBA" w:rsidRDefault="00D07F21" w:rsidP="00E766B4">
      <w:pPr>
        <w:pStyle w:val="DefaultText1"/>
        <w:shd w:val="clear" w:color="auto" w:fill="FFFFFF"/>
        <w:tabs>
          <w:tab w:val="left" w:pos="709"/>
        </w:tabs>
        <w:ind w:left="1134" w:hanging="567"/>
        <w:rPr>
          <w:bCs/>
        </w:rPr>
      </w:pPr>
      <w:r w:rsidRPr="00BE1EBA">
        <w:t>7.3.5</w:t>
      </w:r>
      <w:r w:rsidRPr="00BE1EBA">
        <w:tab/>
        <w:t>Deux (2) éléments de rangement ou plus doivent pouvoir être installés en groupe, côte à côte, dos à dos ou une combinaison des deux.</w:t>
      </w:r>
    </w:p>
    <w:p w:rsidR="00D07F21" w:rsidRPr="00BE1EBA" w:rsidRDefault="00D07F21" w:rsidP="00E766B4">
      <w:pPr>
        <w:tabs>
          <w:tab w:val="left" w:pos="709"/>
        </w:tabs>
        <w:ind w:left="1134" w:hanging="567"/>
        <w:rPr>
          <w:bCs/>
          <w:szCs w:val="20"/>
        </w:rPr>
      </w:pPr>
      <w:r w:rsidRPr="00BE1EBA">
        <w:t>7.3.6</w:t>
      </w:r>
      <w:r w:rsidRPr="00BE1EBA">
        <w:tab/>
        <w:t>Les éléments de rangement doivent être recouverts d</w:t>
      </w:r>
      <w:r w:rsidR="00812400" w:rsidRPr="00BE1EBA">
        <w:t>’</w:t>
      </w:r>
      <w:r w:rsidRPr="00BE1EBA">
        <w:t>un stratifié ou de métal peint, d</w:t>
      </w:r>
      <w:r w:rsidR="00812400" w:rsidRPr="00BE1EBA">
        <w:t>’</w:t>
      </w:r>
      <w:r w:rsidRPr="00BE1EBA">
        <w:t>un placage de bois ou d</w:t>
      </w:r>
      <w:r w:rsidR="00812400" w:rsidRPr="00BE1EBA">
        <w:t>’</w:t>
      </w:r>
      <w:r w:rsidRPr="00BE1EBA">
        <w:t>une combinaison de ces finis.</w:t>
      </w:r>
    </w:p>
    <w:p w:rsidR="00D07F21" w:rsidRPr="00BE1EBA" w:rsidRDefault="00D07F21" w:rsidP="00E766B4">
      <w:pPr>
        <w:tabs>
          <w:tab w:val="left" w:pos="709"/>
        </w:tabs>
        <w:ind w:left="1134" w:hanging="567"/>
        <w:rPr>
          <w:bCs/>
          <w:szCs w:val="20"/>
        </w:rPr>
      </w:pPr>
      <w:r w:rsidRPr="00BE1EBA">
        <w:t>7.3.7</w:t>
      </w:r>
      <w:r w:rsidRPr="00BE1EBA">
        <w:tab/>
        <w:t>Tous les éléments de rangement dépourvus de roulettes doivent être dotés d</w:t>
      </w:r>
      <w:r w:rsidR="00812400" w:rsidRPr="00BE1EBA">
        <w:t>’</w:t>
      </w:r>
      <w:r w:rsidRPr="00BE1EBA">
        <w:t>un mécanisme de mise à niveau permettant un réglage en hauteur d</w:t>
      </w:r>
      <w:r w:rsidR="00812400" w:rsidRPr="00BE1EBA">
        <w:t>’</w:t>
      </w:r>
      <w:r w:rsidRPr="00BE1EBA">
        <w:t xml:space="preserve">au moins 19 mm (0,75 po). </w:t>
      </w:r>
    </w:p>
    <w:p w:rsidR="00D07F21" w:rsidRPr="00BE1EBA" w:rsidRDefault="00D07F21" w:rsidP="00E766B4">
      <w:pPr>
        <w:pStyle w:val="BodyText"/>
        <w:tabs>
          <w:tab w:val="left" w:pos="709"/>
        </w:tabs>
        <w:ind w:left="1134" w:hanging="567"/>
        <w:rPr>
          <w:rFonts w:ascii="Arial" w:hAnsi="Arial" w:cs="Arial"/>
          <w:b/>
          <w:sz w:val="20"/>
        </w:rPr>
      </w:pPr>
      <w:r w:rsidRPr="00BE1EBA">
        <w:rPr>
          <w:rFonts w:ascii="Arial" w:hAnsi="Arial"/>
          <w:sz w:val="20"/>
        </w:rPr>
        <w:t>7.3.8</w:t>
      </w:r>
      <w:r w:rsidRPr="00BE1EBA">
        <w:tab/>
      </w:r>
      <w:r w:rsidRPr="00BE1EBA">
        <w:rPr>
          <w:rFonts w:ascii="Arial" w:hAnsi="Arial"/>
          <w:sz w:val="20"/>
        </w:rPr>
        <w:t>Les éléments de rangement inférieurs ou les bahuts, les éléments de rangement supérieurs ou les huches doivent permettre l</w:t>
      </w:r>
      <w:r w:rsidR="00812400" w:rsidRPr="00BE1EBA">
        <w:rPr>
          <w:rFonts w:ascii="Arial" w:hAnsi="Arial"/>
          <w:sz w:val="20"/>
        </w:rPr>
        <w:t>’</w:t>
      </w:r>
      <w:r w:rsidRPr="00BE1EBA">
        <w:rPr>
          <w:rFonts w:ascii="Arial" w:hAnsi="Arial"/>
          <w:sz w:val="20"/>
        </w:rPr>
        <w:t>accès à l</w:t>
      </w:r>
      <w:r w:rsidR="00812400" w:rsidRPr="00BE1EBA">
        <w:rPr>
          <w:rFonts w:ascii="Arial" w:hAnsi="Arial"/>
          <w:sz w:val="20"/>
        </w:rPr>
        <w:t>’</w:t>
      </w:r>
      <w:r w:rsidRPr="00BE1EBA">
        <w:rPr>
          <w:rFonts w:ascii="Arial" w:hAnsi="Arial"/>
          <w:sz w:val="20"/>
        </w:rPr>
        <w:t>installation électrique, par le plafond, le plancher et les murs, et doivent comprendre un chemin de câbles permettant d</w:t>
      </w:r>
      <w:r w:rsidR="00812400" w:rsidRPr="00BE1EBA">
        <w:rPr>
          <w:rFonts w:ascii="Arial" w:hAnsi="Arial"/>
          <w:sz w:val="20"/>
        </w:rPr>
        <w:t>’</w:t>
      </w:r>
      <w:r w:rsidRPr="00BE1EBA">
        <w:rPr>
          <w:rFonts w:ascii="Arial" w:hAnsi="Arial"/>
          <w:sz w:val="20"/>
        </w:rPr>
        <w:t xml:space="preserve">acheminer les câbles entre le bâtiment et les éléments de rangement. </w:t>
      </w:r>
    </w:p>
    <w:p w:rsidR="00D07F21" w:rsidRPr="00BE1EBA" w:rsidRDefault="00D07F21" w:rsidP="00E42C32">
      <w:pPr>
        <w:pStyle w:val="ModlesEn-tte3"/>
      </w:pPr>
      <w:bookmarkStart w:id="91" w:name="_Toc412634836"/>
      <w:r w:rsidRPr="00BE1EBA">
        <w:lastRenderedPageBreak/>
        <w:t>Caissons</w:t>
      </w:r>
      <w:bookmarkEnd w:id="91"/>
    </w:p>
    <w:p w:rsidR="00D07F21" w:rsidRPr="00BE1EBA" w:rsidRDefault="00D07F21" w:rsidP="00524F74">
      <w:pPr>
        <w:ind w:left="567" w:hanging="567"/>
      </w:pPr>
      <w:r w:rsidRPr="00BE1EBA">
        <w:t>7.4</w:t>
      </w:r>
      <w:r w:rsidRPr="00BE1EBA">
        <w:tab/>
        <w:t xml:space="preserve">Les caissons doivent être autostables, et/ou supporter une surface de travail et/ou être mobiles. </w:t>
      </w:r>
    </w:p>
    <w:p w:rsidR="00D07F21" w:rsidRPr="00BE1EBA" w:rsidRDefault="00D07F21" w:rsidP="00524F74">
      <w:pPr>
        <w:ind w:left="1134" w:hanging="567"/>
      </w:pPr>
      <w:r w:rsidRPr="00BE1EBA">
        <w:t>7.4.1</w:t>
      </w:r>
      <w:r w:rsidRPr="00BE1EBA">
        <w:tab/>
        <w:t>Le tiroir ordinaire supérieur du caisson doit être muni d</w:t>
      </w:r>
      <w:r w:rsidR="00812400" w:rsidRPr="00BE1EBA">
        <w:t>’</w:t>
      </w:r>
      <w:r w:rsidRPr="00BE1EBA">
        <w:t xml:space="preserve">un plumier amovible qui occupe la pleine largeur du tiroir. </w:t>
      </w:r>
    </w:p>
    <w:p w:rsidR="00D07F21" w:rsidRPr="00BE1EBA" w:rsidRDefault="00D07F21" w:rsidP="00524F74">
      <w:pPr>
        <w:ind w:left="1134" w:hanging="567"/>
      </w:pPr>
      <w:r w:rsidRPr="00BE1EBA">
        <w:t>7.4.2</w:t>
      </w:r>
      <w:r w:rsidRPr="00BE1EBA">
        <w:tab/>
        <w:t>Tous les caissons doivent être munis d</w:t>
      </w:r>
      <w:r w:rsidR="00812400" w:rsidRPr="00BE1EBA">
        <w:t>’</w:t>
      </w:r>
      <w:r w:rsidRPr="00BE1EBA">
        <w:t>au moins un tiroir</w:t>
      </w:r>
      <w:r w:rsidR="003262E1" w:rsidRPr="00BE1EBA">
        <w:t>­</w:t>
      </w:r>
      <w:r w:rsidRPr="00BE1EBA">
        <w:t>classeur inférieur et d</w:t>
      </w:r>
      <w:r w:rsidR="00812400" w:rsidRPr="00BE1EBA">
        <w:t>’</w:t>
      </w:r>
      <w:r w:rsidRPr="00BE1EBA">
        <w:t>un tiroir supérieur ou de deux tiroirs</w:t>
      </w:r>
      <w:r w:rsidR="003262E1" w:rsidRPr="00BE1EBA">
        <w:t>­</w:t>
      </w:r>
      <w:r w:rsidRPr="00BE1EBA">
        <w:t xml:space="preserve">classeurs. </w:t>
      </w:r>
    </w:p>
    <w:p w:rsidR="00D07F21" w:rsidRPr="00BE1EBA" w:rsidRDefault="00D07F21" w:rsidP="00524F74">
      <w:pPr>
        <w:ind w:left="1134" w:hanging="567"/>
      </w:pPr>
      <w:r w:rsidRPr="00BE1EBA">
        <w:t>7.4.3</w:t>
      </w:r>
      <w:r w:rsidRPr="00BE1EBA">
        <w:tab/>
        <w:t>Le tiroir</w:t>
      </w:r>
      <w:r w:rsidR="003262E1" w:rsidRPr="00BE1EBA">
        <w:t>­</w:t>
      </w:r>
      <w:r w:rsidRPr="00BE1EBA">
        <w:t xml:space="preserve">classeur doit comprendre au moins deux intercalaires de dossiers amovibles ou une barre de suspension de dossiers. </w:t>
      </w:r>
    </w:p>
    <w:p w:rsidR="00D07F21" w:rsidRPr="00BE1EBA" w:rsidRDefault="00D07F21" w:rsidP="00524F74">
      <w:pPr>
        <w:ind w:left="1134" w:hanging="567"/>
      </w:pPr>
      <w:r w:rsidRPr="00BE1EBA">
        <w:t>7.4.4</w:t>
      </w:r>
      <w:r w:rsidRPr="00BE1EBA">
        <w:tab/>
        <w:t>Caissons mobiles :</w:t>
      </w:r>
    </w:p>
    <w:p w:rsidR="00D07F21" w:rsidRPr="00BE1EBA" w:rsidRDefault="00524F74" w:rsidP="00524F74">
      <w:pPr>
        <w:tabs>
          <w:tab w:val="left" w:pos="1418"/>
        </w:tabs>
        <w:suppressAutoHyphens/>
        <w:ind w:left="1701" w:hanging="567"/>
        <w:rPr>
          <w:szCs w:val="20"/>
        </w:rPr>
      </w:pPr>
      <w:r w:rsidRPr="00BE1EBA">
        <w:t xml:space="preserve">7.4.4.1Des roulettes conçues pour rouler sur la moquette ou une surface dure doivent être fournies. </w:t>
      </w:r>
    </w:p>
    <w:p w:rsidR="00D07F21" w:rsidRPr="00BE1EBA" w:rsidRDefault="00524F74" w:rsidP="00524F74">
      <w:pPr>
        <w:tabs>
          <w:tab w:val="left" w:pos="1418"/>
        </w:tabs>
        <w:suppressAutoHyphens/>
        <w:ind w:left="1701" w:hanging="567"/>
        <w:rPr>
          <w:szCs w:val="20"/>
        </w:rPr>
      </w:pPr>
      <w:r w:rsidRPr="00BE1EBA">
        <w:t>7.4.4.2Les caissons mobiles doivent être munis de roulettes blocables.</w:t>
      </w:r>
    </w:p>
    <w:p w:rsidR="00D07F21" w:rsidRPr="00BE1EBA" w:rsidRDefault="00D07F21" w:rsidP="00D07F21">
      <w:pPr>
        <w:pStyle w:val="DefaultText1"/>
        <w:shd w:val="clear" w:color="auto" w:fill="FFFFFF"/>
        <w:tabs>
          <w:tab w:val="left" w:pos="1440"/>
        </w:tabs>
        <w:rPr>
          <w:b/>
        </w:rPr>
      </w:pPr>
      <w:r w:rsidRPr="00BE1EBA">
        <w:rPr>
          <w:b/>
        </w:rPr>
        <w:t>Éléments de rangement inférieurs ou bahuts</w:t>
      </w:r>
    </w:p>
    <w:p w:rsidR="00D07F21" w:rsidRPr="00BE1EBA" w:rsidRDefault="00D07F21" w:rsidP="008F2713">
      <w:pPr>
        <w:pStyle w:val="DefaultText1"/>
        <w:shd w:val="clear" w:color="auto" w:fill="FFFFFF"/>
        <w:ind w:left="567" w:hanging="567"/>
      </w:pPr>
      <w:r w:rsidRPr="00BE1EBA">
        <w:t>7.5</w:t>
      </w:r>
      <w:r w:rsidRPr="00BE1EBA">
        <w:tab/>
        <w:t>Les éléments de rangement inférieurs ou les bahuts doivent comporter des compartiments ouverts ou fermés ou diverses combinaisons de compartiments ouverts ou fermés. Les compartiments fermés doivent être dotés de tiroirs ou de portes ou de tout autre dispositif de fermeture.</w:t>
      </w:r>
    </w:p>
    <w:p w:rsidR="00D07F21" w:rsidRPr="00BE1EBA" w:rsidRDefault="00D07F21" w:rsidP="00984A68">
      <w:pPr>
        <w:pStyle w:val="DefaultText1"/>
        <w:shd w:val="clear" w:color="auto" w:fill="FFFFFF"/>
        <w:tabs>
          <w:tab w:val="clear" w:pos="0"/>
          <w:tab w:val="left" w:pos="567"/>
        </w:tabs>
        <w:ind w:left="567" w:hanging="567"/>
      </w:pPr>
      <w:r w:rsidRPr="00BE1EBA">
        <w:t>7.6</w:t>
      </w:r>
      <w:r w:rsidRPr="00BE1EBA">
        <w:tab/>
        <w:t>Les éléments de rangement inférieurs ou les bahuts doivent pouvoir être placés sous une surface de travail à hauteur fixe, dans les cas où ils supportent partiellement la surface de travail et lorsqu</w:t>
      </w:r>
      <w:r w:rsidR="00812400" w:rsidRPr="00BE1EBA">
        <w:t>’</w:t>
      </w:r>
      <w:r w:rsidRPr="00BE1EBA">
        <w:t>un coussin d</w:t>
      </w:r>
      <w:r w:rsidR="00812400" w:rsidRPr="00BE1EBA">
        <w:t>’</w:t>
      </w:r>
      <w:r w:rsidRPr="00BE1EBA">
        <w:t>assise n</w:t>
      </w:r>
      <w:r w:rsidR="00812400" w:rsidRPr="00BE1EBA">
        <w:t>’</w:t>
      </w:r>
      <w:r w:rsidRPr="00BE1EBA">
        <w:t xml:space="preserve">est pas nécessaire. </w:t>
      </w:r>
    </w:p>
    <w:p w:rsidR="00D07F21" w:rsidRPr="00BE1EBA" w:rsidRDefault="00D07F21" w:rsidP="00524F74">
      <w:pPr>
        <w:pStyle w:val="DefaultText1"/>
        <w:shd w:val="clear" w:color="auto" w:fill="FFFFFF"/>
        <w:ind w:left="1134" w:hanging="567"/>
      </w:pPr>
      <w:r w:rsidRPr="00BE1EBA">
        <w:t>7.6.1</w:t>
      </w:r>
      <w:r w:rsidRPr="00BE1EBA">
        <w:tab/>
        <w:t>La hauteur de l</w:t>
      </w:r>
      <w:r w:rsidR="00812400" w:rsidRPr="00BE1EBA">
        <w:t>’</w:t>
      </w:r>
      <w:r w:rsidRPr="00BE1EBA">
        <w:t xml:space="preserve">élément de rangement inférieur ou du bahut ne doit pas dépasser 797 mm (31 po). </w:t>
      </w:r>
    </w:p>
    <w:p w:rsidR="00D07F21" w:rsidRPr="00BE1EBA" w:rsidRDefault="00D07F21" w:rsidP="00524F74">
      <w:pPr>
        <w:pStyle w:val="DefaultText1"/>
        <w:shd w:val="clear" w:color="auto" w:fill="FFFFFF"/>
        <w:ind w:left="1134" w:hanging="567"/>
      </w:pPr>
      <w:r w:rsidRPr="00BE1EBA">
        <w:t>7.6.2</w:t>
      </w:r>
      <w:r w:rsidRPr="00BE1EBA">
        <w:tab/>
        <w:t>Les éléments de rangement inférieurs ou les bahuts doivent avoir une profondeur de 381 mm (15 po) à 610 mm (24 po).</w:t>
      </w:r>
    </w:p>
    <w:p w:rsidR="00D07F21" w:rsidRPr="00BE1EBA" w:rsidRDefault="00D07F21" w:rsidP="00524F74">
      <w:pPr>
        <w:pStyle w:val="DefaultText1"/>
        <w:shd w:val="clear" w:color="auto" w:fill="FFFFFF"/>
        <w:ind w:left="1134" w:hanging="567"/>
      </w:pPr>
      <w:r w:rsidRPr="00BE1EBA">
        <w:t>7.6.3</w:t>
      </w:r>
      <w:r w:rsidRPr="00BE1EBA">
        <w:tab/>
        <w:t>Les éléments de rangement inférieurs ou les bahuts doivent être avec ou sans prise électrique et être dotés de prises de données.</w:t>
      </w:r>
    </w:p>
    <w:p w:rsidR="00D07F21" w:rsidRPr="00BE1EBA" w:rsidRDefault="00D07F21" w:rsidP="00E42C32">
      <w:pPr>
        <w:pStyle w:val="ModlesEn-tte3"/>
      </w:pPr>
      <w:bookmarkStart w:id="92" w:name="_Toc412634837"/>
      <w:r w:rsidRPr="00BE1EBA">
        <w:t>Éléments de rangement supérieurs ou huches</w:t>
      </w:r>
      <w:bookmarkEnd w:id="92"/>
    </w:p>
    <w:p w:rsidR="00D07F21" w:rsidRPr="00BE1EBA" w:rsidRDefault="00D07F21" w:rsidP="00632EB7">
      <w:pPr>
        <w:pStyle w:val="BodyText"/>
        <w:ind w:left="567" w:hanging="567"/>
        <w:rPr>
          <w:rFonts w:ascii="Arial" w:hAnsi="Arial" w:cs="Arial"/>
          <w:b/>
          <w:sz w:val="20"/>
        </w:rPr>
      </w:pPr>
      <w:r w:rsidRPr="00BE1EBA">
        <w:rPr>
          <w:rFonts w:ascii="Arial" w:hAnsi="Arial"/>
          <w:sz w:val="20"/>
        </w:rPr>
        <w:t>7.7</w:t>
      </w:r>
      <w:r w:rsidRPr="00BE1EBA">
        <w:tab/>
      </w:r>
      <w:r w:rsidRPr="00BE1EBA">
        <w:rPr>
          <w:rFonts w:ascii="Arial" w:hAnsi="Arial"/>
          <w:sz w:val="20"/>
        </w:rPr>
        <w:t>Les éléments de rangement supérieurs ou les huches doivent comporter des compartiments ouverts ou fermés ou diverses combinaisons de compartiments ouverts ou fermés. Les compartiments fermés doivent être dotés de tiroirs ou de portes ou de tout autre dispositif de fermeture.</w:t>
      </w:r>
    </w:p>
    <w:p w:rsidR="00D07F21" w:rsidRPr="00BE1EBA" w:rsidRDefault="00D07F21" w:rsidP="00632EB7">
      <w:pPr>
        <w:pStyle w:val="BodyText"/>
        <w:ind w:left="1134" w:hanging="567"/>
        <w:rPr>
          <w:rFonts w:ascii="Arial" w:hAnsi="Arial" w:cs="Arial"/>
          <w:b/>
          <w:bCs/>
          <w:sz w:val="20"/>
        </w:rPr>
      </w:pPr>
      <w:r w:rsidRPr="00BE1EBA">
        <w:rPr>
          <w:rFonts w:ascii="Arial" w:hAnsi="Arial"/>
          <w:sz w:val="20"/>
        </w:rPr>
        <w:t>7.7.1</w:t>
      </w:r>
      <w:r w:rsidRPr="00BE1EBA">
        <w:tab/>
      </w:r>
      <w:r w:rsidRPr="00BE1EBA">
        <w:rPr>
          <w:rFonts w:ascii="Arial" w:hAnsi="Arial"/>
          <w:sz w:val="20"/>
        </w:rPr>
        <w:t>Les éléments de rangement supérieurs ou les huches doivent avoir une hauteur d</w:t>
      </w:r>
      <w:r w:rsidR="00812400" w:rsidRPr="00BE1EBA">
        <w:rPr>
          <w:rFonts w:ascii="Arial" w:hAnsi="Arial"/>
          <w:sz w:val="20"/>
        </w:rPr>
        <w:t>’</w:t>
      </w:r>
      <w:r w:rsidRPr="00BE1EBA">
        <w:rPr>
          <w:rFonts w:ascii="Arial" w:hAnsi="Arial"/>
          <w:sz w:val="20"/>
        </w:rPr>
        <w:t>au moins 797 mm (31 po), mais d</w:t>
      </w:r>
      <w:r w:rsidR="00812400" w:rsidRPr="00BE1EBA">
        <w:rPr>
          <w:rFonts w:ascii="Arial" w:hAnsi="Arial"/>
          <w:sz w:val="20"/>
        </w:rPr>
        <w:t>’</w:t>
      </w:r>
      <w:r w:rsidRPr="00BE1EBA">
        <w:rPr>
          <w:rFonts w:ascii="Arial" w:hAnsi="Arial"/>
          <w:sz w:val="20"/>
        </w:rPr>
        <w:t>au plus 1372 mm (54 po).</w:t>
      </w:r>
    </w:p>
    <w:p w:rsidR="00D07F21" w:rsidRPr="00BE1EBA" w:rsidRDefault="00D07F21" w:rsidP="00632EB7">
      <w:pPr>
        <w:pStyle w:val="DefaultText1"/>
        <w:shd w:val="clear" w:color="auto" w:fill="FFFFFF"/>
        <w:ind w:left="1134" w:hanging="567"/>
      </w:pPr>
      <w:r w:rsidRPr="00BE1EBA">
        <w:t>7.7.2</w:t>
      </w:r>
      <w:r w:rsidRPr="00BE1EBA">
        <w:tab/>
        <w:t>Lorsqu</w:t>
      </w:r>
      <w:r w:rsidR="00812400" w:rsidRPr="00BE1EBA">
        <w:t>’</w:t>
      </w:r>
      <w:r w:rsidRPr="00BE1EBA">
        <w:t>une huche est utilisée comme élément de rangement supérieur, la hauteur globale de la huche plus l</w:t>
      </w:r>
      <w:r w:rsidR="00812400" w:rsidRPr="00BE1EBA">
        <w:t>’</w:t>
      </w:r>
      <w:r w:rsidRPr="00BE1EBA">
        <w:t xml:space="preserve">élément de rangement inférieur ou le bahut ne doit pas dépasser 1372 mm (54 po). </w:t>
      </w:r>
    </w:p>
    <w:p w:rsidR="00D07F21" w:rsidRPr="00BE1EBA" w:rsidRDefault="00D07F21" w:rsidP="00632EB7">
      <w:pPr>
        <w:pStyle w:val="DefaultText1"/>
        <w:shd w:val="clear" w:color="auto" w:fill="FFFFFF"/>
        <w:ind w:left="1134" w:hanging="567"/>
      </w:pPr>
      <w:r w:rsidRPr="00BE1EBA">
        <w:t>7.7.3</w:t>
      </w:r>
      <w:r w:rsidRPr="00BE1EBA">
        <w:tab/>
        <w:t>Les éléments de rangement supérieurs ou huches doivent être offerts dans une gamme de profondeurs allant de 381 mm (15 po) à 610 mm (24 po).</w:t>
      </w:r>
    </w:p>
    <w:p w:rsidR="00D07F21" w:rsidRPr="00BE1EBA" w:rsidRDefault="00D07F21" w:rsidP="00632EB7">
      <w:pPr>
        <w:pStyle w:val="DefaultText1"/>
        <w:shd w:val="clear" w:color="auto" w:fill="FFFFFF"/>
        <w:ind w:left="1134" w:hanging="567"/>
      </w:pPr>
      <w:r w:rsidRPr="00BE1EBA">
        <w:t xml:space="preserve">7.7.4 </w:t>
      </w:r>
      <w:r w:rsidRPr="00BE1EBA">
        <w:tab/>
        <w:t>Les portes doivent être à charnières verticales et/ou coulissantes.</w:t>
      </w:r>
    </w:p>
    <w:p w:rsidR="00D07F21" w:rsidRPr="00BE1EBA" w:rsidRDefault="00D07F21" w:rsidP="00632EB7">
      <w:pPr>
        <w:pStyle w:val="DefaultText1"/>
        <w:shd w:val="clear" w:color="auto" w:fill="FFFFFF"/>
        <w:ind w:left="1134" w:hanging="567"/>
      </w:pPr>
      <w:r w:rsidRPr="00BE1EBA">
        <w:t>7.7.5</w:t>
      </w:r>
      <w:r w:rsidRPr="00BE1EBA">
        <w:tab/>
        <w:t>Les huches doivent être solidement installées, mais pas de façon permanente, sur le dessus de la surface d</w:t>
      </w:r>
      <w:r w:rsidR="00812400" w:rsidRPr="00BE1EBA">
        <w:t>’</w:t>
      </w:r>
      <w:r w:rsidRPr="00BE1EBA">
        <w:t>appui, de sorte que la surface d</w:t>
      </w:r>
      <w:r w:rsidR="00812400" w:rsidRPr="00BE1EBA">
        <w:t>’</w:t>
      </w:r>
      <w:r w:rsidRPr="00BE1EBA">
        <w:t>appui ou l</w:t>
      </w:r>
      <w:r w:rsidR="00812400" w:rsidRPr="00BE1EBA">
        <w:t>’</w:t>
      </w:r>
      <w:r w:rsidRPr="00BE1EBA">
        <w:t>élément de rangement ne soit pas endommagé lorsqu</w:t>
      </w:r>
      <w:r w:rsidR="00812400" w:rsidRPr="00BE1EBA">
        <w:t>’</w:t>
      </w:r>
      <w:r w:rsidRPr="00BE1EBA">
        <w:t xml:space="preserve">on enlève la huche. </w:t>
      </w:r>
    </w:p>
    <w:p w:rsidR="00D07F21" w:rsidRPr="00BE1EBA" w:rsidRDefault="00D07F21" w:rsidP="00632EB7">
      <w:pPr>
        <w:pStyle w:val="DefaultText1"/>
        <w:shd w:val="clear" w:color="auto" w:fill="FFFFFF"/>
        <w:ind w:left="1134" w:hanging="567"/>
      </w:pPr>
      <w:r w:rsidRPr="00BE1EBA">
        <w:t>7.7.6</w:t>
      </w:r>
      <w:r w:rsidRPr="00BE1EBA">
        <w:tab/>
        <w:t>Les éléments de rangement inférieurs ou les bahuts doivent être avec ou sans prise électrique et être dotés d</w:t>
      </w:r>
      <w:r w:rsidR="00812400" w:rsidRPr="00BE1EBA">
        <w:t>’</w:t>
      </w:r>
      <w:r w:rsidRPr="00BE1EBA">
        <w:t>une prise de données.</w:t>
      </w:r>
    </w:p>
    <w:p w:rsidR="00D07F21" w:rsidRPr="00BE1EBA" w:rsidRDefault="00D07F21" w:rsidP="00632EB7">
      <w:pPr>
        <w:pStyle w:val="DefaultText1"/>
        <w:shd w:val="clear" w:color="auto" w:fill="FFFFFF"/>
        <w:ind w:left="1134" w:hanging="567"/>
      </w:pPr>
      <w:r w:rsidRPr="00BE1EBA">
        <w:lastRenderedPageBreak/>
        <w:t>7.7.7</w:t>
      </w:r>
      <w:r w:rsidRPr="00BE1EBA">
        <w:tab/>
        <w:t>Les huches doivent être montées sur un bureau, un élément de rangement inférieur ou un bahut.</w:t>
      </w:r>
    </w:p>
    <w:p w:rsidR="00D07F21" w:rsidRPr="00BE1EBA" w:rsidRDefault="00D07F21" w:rsidP="001E00F9">
      <w:pPr>
        <w:pStyle w:val="ModlesEn-tte3"/>
      </w:pPr>
      <w:bookmarkStart w:id="93" w:name="_Toc412634838"/>
      <w:r w:rsidRPr="00BE1EBA">
        <w:t>Classeurs latéraux à deux tiroirs</w:t>
      </w:r>
      <w:bookmarkEnd w:id="93"/>
    </w:p>
    <w:p w:rsidR="00D07F21" w:rsidRPr="00BE1EBA" w:rsidRDefault="00D07F21" w:rsidP="00632EB7">
      <w:pPr>
        <w:pStyle w:val="DefaultText1"/>
        <w:shd w:val="clear" w:color="auto" w:fill="FFFFFF"/>
        <w:ind w:left="567" w:hanging="567"/>
      </w:pPr>
      <w:r w:rsidRPr="00BE1EBA">
        <w:rPr>
          <w:rStyle w:val="InitialStyle"/>
          <w:color w:val="auto"/>
        </w:rPr>
        <w:t>7.8</w:t>
      </w:r>
      <w:r w:rsidRPr="00BE1EBA">
        <w:tab/>
      </w:r>
      <w:r w:rsidRPr="00BE1EBA">
        <w:rPr>
          <w:rStyle w:val="InitialStyle"/>
          <w:color w:val="auto"/>
        </w:rPr>
        <w:t xml:space="preserve">Chaque tiroir </w:t>
      </w:r>
      <w:r w:rsidRPr="00BE1EBA">
        <w:rPr>
          <w:rStyle w:val="InitialStyle"/>
        </w:rPr>
        <w:t xml:space="preserve">doit comporter au moins deux séparateurs amovibles, des barres de suspension des dossiers et des barres de conversion pour passer du format ministre au format lettre. </w:t>
      </w:r>
    </w:p>
    <w:p w:rsidR="00D07F21" w:rsidRPr="00BE1EBA" w:rsidRDefault="00D07F21" w:rsidP="00632EB7">
      <w:pPr>
        <w:pStyle w:val="DefaultText1"/>
        <w:shd w:val="clear" w:color="auto" w:fill="FFFFFF"/>
        <w:ind w:left="1134" w:hanging="567"/>
        <w:rPr>
          <w:rStyle w:val="InitialStyle"/>
          <w:color w:val="auto"/>
        </w:rPr>
      </w:pPr>
      <w:r w:rsidRPr="00BE1EBA">
        <w:rPr>
          <w:rStyle w:val="InitialStyle"/>
          <w:color w:val="auto"/>
        </w:rPr>
        <w:t>7.8.1</w:t>
      </w:r>
      <w:r w:rsidRPr="00BE1EBA">
        <w:tab/>
      </w:r>
      <w:r w:rsidRPr="00BE1EBA">
        <w:rPr>
          <w:rStyle w:val="InitialStyle"/>
          <w:color w:val="auto"/>
        </w:rPr>
        <w:t>Les contrepoids doivent satisfaire aux exigences de la norme ANSI/BIFMA </w:t>
      </w:r>
      <w:r w:rsidRPr="00BE1EBA">
        <w:t>X5.9­2012</w:t>
      </w:r>
      <w:r w:rsidRPr="00BE1EBA">
        <w:rPr>
          <w:rStyle w:val="InitialStyle"/>
          <w:color w:val="auto"/>
        </w:rPr>
        <w:t>, pour éviter le basculement du classeur lorsqu</w:t>
      </w:r>
      <w:r w:rsidR="00812400" w:rsidRPr="00BE1EBA">
        <w:rPr>
          <w:rStyle w:val="InitialStyle"/>
          <w:color w:val="auto"/>
        </w:rPr>
        <w:t>’</w:t>
      </w:r>
      <w:r w:rsidRPr="00BE1EBA">
        <w:rPr>
          <w:rStyle w:val="InitialStyle"/>
          <w:color w:val="auto"/>
        </w:rPr>
        <w:t xml:space="preserve">il ne se trouve pas sous une surface de travail. </w:t>
      </w:r>
    </w:p>
    <w:p w:rsidR="00D07F21" w:rsidRPr="00BE1EBA" w:rsidRDefault="00D07F21" w:rsidP="00632EB7">
      <w:pPr>
        <w:pStyle w:val="DefaultText1"/>
        <w:shd w:val="clear" w:color="auto" w:fill="FFFFFF"/>
        <w:ind w:left="1134" w:hanging="567"/>
        <w:rPr>
          <w:rStyle w:val="InitialStyle"/>
          <w:color w:val="auto"/>
        </w:rPr>
      </w:pPr>
      <w:r w:rsidRPr="00BE1EBA">
        <w:rPr>
          <w:rStyle w:val="InitialStyle"/>
          <w:color w:val="auto"/>
        </w:rPr>
        <w:t>7.8.2</w:t>
      </w:r>
      <w:r w:rsidRPr="00BE1EBA">
        <w:tab/>
      </w:r>
      <w:r w:rsidRPr="00BE1EBA">
        <w:rPr>
          <w:rStyle w:val="InitialStyle"/>
          <w:color w:val="auto"/>
        </w:rPr>
        <w:t xml:space="preserve">Les tiroirs doivent comporter des façades fixes. </w:t>
      </w:r>
    </w:p>
    <w:p w:rsidR="00D07F21" w:rsidRPr="00BE1EBA" w:rsidRDefault="00D07F21" w:rsidP="00632EB7">
      <w:pPr>
        <w:pStyle w:val="DefaultText1"/>
        <w:shd w:val="clear" w:color="auto" w:fill="FFFFFF"/>
        <w:ind w:left="1134" w:hanging="567"/>
        <w:rPr>
          <w:rStyle w:val="InitialStyle"/>
          <w:color w:val="auto"/>
        </w:rPr>
      </w:pPr>
      <w:r w:rsidRPr="00BE1EBA">
        <w:rPr>
          <w:rStyle w:val="InitialStyle"/>
          <w:color w:val="auto"/>
        </w:rPr>
        <w:t>7.8.3</w:t>
      </w:r>
      <w:r w:rsidRPr="00BE1EBA">
        <w:tab/>
      </w:r>
      <w:r w:rsidRPr="00BE1EBA">
        <w:rPr>
          <w:rStyle w:val="InitialStyle"/>
          <w:color w:val="auto"/>
        </w:rPr>
        <w:t>La hauteur des classeurs latéraux ne doit pas dépasser 711 mm (28 po), à l</w:t>
      </w:r>
      <w:r w:rsidR="00812400" w:rsidRPr="00BE1EBA">
        <w:rPr>
          <w:rStyle w:val="InitialStyle"/>
          <w:color w:val="auto"/>
        </w:rPr>
        <w:t>’</w:t>
      </w:r>
      <w:r w:rsidRPr="00BE1EBA">
        <w:rPr>
          <w:rStyle w:val="InitialStyle"/>
          <w:color w:val="auto"/>
        </w:rPr>
        <w:t>exclusion du coussin d</w:t>
      </w:r>
      <w:r w:rsidR="00812400" w:rsidRPr="00BE1EBA">
        <w:rPr>
          <w:rStyle w:val="InitialStyle"/>
          <w:color w:val="auto"/>
        </w:rPr>
        <w:t>’</w:t>
      </w:r>
      <w:r w:rsidRPr="00BE1EBA">
        <w:rPr>
          <w:rStyle w:val="InitialStyle"/>
          <w:color w:val="auto"/>
        </w:rPr>
        <w:t xml:space="preserve">assise et les classeurs doivent pouvoir être insérés sous la surface de travail. </w:t>
      </w:r>
    </w:p>
    <w:p w:rsidR="00D07F21" w:rsidRPr="00BE1EBA" w:rsidRDefault="00D07F21" w:rsidP="00632EB7">
      <w:pPr>
        <w:pStyle w:val="DefaultText1"/>
        <w:shd w:val="clear" w:color="auto" w:fill="FFFFFF"/>
        <w:ind w:left="1134" w:hanging="567"/>
        <w:rPr>
          <w:rStyle w:val="InitialStyle"/>
          <w:color w:val="auto"/>
        </w:rPr>
      </w:pPr>
      <w:r w:rsidRPr="00BE1EBA">
        <w:rPr>
          <w:rStyle w:val="InitialStyle"/>
          <w:color w:val="auto"/>
        </w:rPr>
        <w:t xml:space="preserve">7.8.4 </w:t>
      </w:r>
      <w:r w:rsidRPr="00BE1EBA">
        <w:tab/>
      </w:r>
      <w:r w:rsidRPr="00BE1EBA">
        <w:rPr>
          <w:rStyle w:val="InitialStyle"/>
          <w:color w:val="auto"/>
        </w:rPr>
        <w:t xml:space="preserve">Les classeurs latéraux doivent pouvoir être insérés sous une surface de travail de 610 mm (24 po) de profondeur. </w:t>
      </w:r>
    </w:p>
    <w:p w:rsidR="00D07F21" w:rsidRPr="00BE1EBA" w:rsidRDefault="00D07F21" w:rsidP="00632EB7">
      <w:pPr>
        <w:pStyle w:val="DefaultText1"/>
        <w:shd w:val="clear" w:color="auto" w:fill="FFFFFF"/>
        <w:ind w:left="1134" w:hanging="567"/>
      </w:pPr>
      <w:r w:rsidRPr="00BE1EBA">
        <w:rPr>
          <w:rStyle w:val="InitialStyle"/>
          <w:color w:val="auto"/>
        </w:rPr>
        <w:t xml:space="preserve">7.8.5 </w:t>
      </w:r>
      <w:r w:rsidRPr="00BE1EBA">
        <w:tab/>
      </w:r>
      <w:r w:rsidRPr="00BE1EBA">
        <w:rPr>
          <w:rStyle w:val="InitialStyle"/>
          <w:color w:val="auto"/>
        </w:rPr>
        <w:t>Lorsqu</w:t>
      </w:r>
      <w:r w:rsidR="00812400" w:rsidRPr="00BE1EBA">
        <w:rPr>
          <w:rStyle w:val="InitialStyle"/>
          <w:color w:val="auto"/>
        </w:rPr>
        <w:t>’</w:t>
      </w:r>
      <w:r w:rsidRPr="00BE1EBA">
        <w:rPr>
          <w:rStyle w:val="InitialStyle"/>
          <w:color w:val="auto"/>
        </w:rPr>
        <w:t>un coussin d</w:t>
      </w:r>
      <w:r w:rsidR="00812400" w:rsidRPr="00BE1EBA">
        <w:rPr>
          <w:rStyle w:val="InitialStyle"/>
          <w:color w:val="auto"/>
        </w:rPr>
        <w:t>’</w:t>
      </w:r>
      <w:r w:rsidRPr="00BE1EBA">
        <w:rPr>
          <w:rStyle w:val="InitialStyle"/>
          <w:color w:val="auto"/>
        </w:rPr>
        <w:t xml:space="preserve">assise est demandé, il doit avoir une largeur convenable pour un siège, soit au moins </w:t>
      </w:r>
      <w:r w:rsidRPr="00BE1EBA">
        <w:t xml:space="preserve">610 mm (24 po). </w:t>
      </w:r>
    </w:p>
    <w:p w:rsidR="00D07F21" w:rsidRPr="00BE1EBA" w:rsidRDefault="00D07F21" w:rsidP="001E00F9">
      <w:pPr>
        <w:pStyle w:val="ModlesEn-tte3"/>
      </w:pPr>
      <w:bookmarkStart w:id="94" w:name="_Toc412634839"/>
      <w:r w:rsidRPr="00BE1EBA">
        <w:t>Penderie</w:t>
      </w:r>
      <w:bookmarkEnd w:id="94"/>
    </w:p>
    <w:p w:rsidR="00D07F21" w:rsidRPr="00BE1EBA" w:rsidRDefault="00D07F21" w:rsidP="00632EB7">
      <w:pPr>
        <w:pStyle w:val="DefaultText1"/>
        <w:shd w:val="clear" w:color="auto" w:fill="FFFFFF"/>
        <w:ind w:left="567" w:hanging="567"/>
      </w:pPr>
      <w:r w:rsidRPr="00BE1EBA">
        <w:t xml:space="preserve">7.9 </w:t>
      </w:r>
      <w:r w:rsidRPr="00BE1EBA">
        <w:tab/>
        <w:t>La penderie doit être de pleine grandeur pour permettre de ranger plus d</w:t>
      </w:r>
      <w:r w:rsidR="00812400" w:rsidRPr="00BE1EBA">
        <w:t>’</w:t>
      </w:r>
      <w:r w:rsidRPr="00BE1EBA">
        <w:t>un vêtement.</w:t>
      </w:r>
    </w:p>
    <w:p w:rsidR="00D07F21" w:rsidRPr="00BE1EBA" w:rsidRDefault="00D07F21" w:rsidP="00632EB7">
      <w:pPr>
        <w:pStyle w:val="DefaultText1"/>
        <w:shd w:val="clear" w:color="auto" w:fill="FFFFFF"/>
        <w:ind w:left="1134" w:hanging="567"/>
        <w:rPr>
          <w:rStyle w:val="InitialStyle"/>
          <w:color w:val="auto"/>
        </w:rPr>
      </w:pPr>
      <w:r w:rsidRPr="00BE1EBA">
        <w:t>7.9.1</w:t>
      </w:r>
      <w:r w:rsidRPr="00BE1EBA">
        <w:tab/>
        <w:t xml:space="preserve">Les penderies doivent comporter deux portes, une tringle à vêtements et une tablette à chapeau. </w:t>
      </w:r>
    </w:p>
    <w:p w:rsidR="00D07F21" w:rsidRPr="00BE1EBA" w:rsidRDefault="00D07F21" w:rsidP="001E00F9">
      <w:pPr>
        <w:pStyle w:val="ModlesEn-tte3"/>
        <w:rPr>
          <w:rStyle w:val="InitialStyle"/>
          <w:rFonts w:cs="Times New Roman"/>
        </w:rPr>
      </w:pPr>
      <w:bookmarkStart w:id="95" w:name="_Toc412634840"/>
      <w:r w:rsidRPr="00BE1EBA">
        <w:rPr>
          <w:rStyle w:val="InitialStyle"/>
        </w:rPr>
        <w:t>Armoire de rangement des effets personnels</w:t>
      </w:r>
      <w:bookmarkEnd w:id="95"/>
      <w:r w:rsidRPr="00BE1EBA">
        <w:rPr>
          <w:rStyle w:val="InitialStyle"/>
        </w:rPr>
        <w:t xml:space="preserve"> </w:t>
      </w:r>
    </w:p>
    <w:p w:rsidR="00D07F21" w:rsidRPr="00BE1EBA" w:rsidRDefault="00D07F21" w:rsidP="00632EB7">
      <w:pPr>
        <w:pStyle w:val="DefaultText"/>
        <w:ind w:left="567" w:hanging="567"/>
        <w:rPr>
          <w:rStyle w:val="InitialStyle"/>
        </w:rPr>
      </w:pPr>
      <w:r w:rsidRPr="00BE1EBA">
        <w:rPr>
          <w:rStyle w:val="InitialStyle"/>
        </w:rPr>
        <w:t>7.10</w:t>
      </w:r>
      <w:r w:rsidRPr="00BE1EBA">
        <w:tab/>
      </w:r>
      <w:r w:rsidRPr="00BE1EBA">
        <w:rPr>
          <w:rStyle w:val="InitialStyle"/>
        </w:rPr>
        <w:t xml:space="preserve">Les armoires de rangement des effets personnels doivent comporter deux (2) tiroirs­classeurs, un compartiment de rangement avec ou sans porte et une penderie avec porte. </w:t>
      </w:r>
    </w:p>
    <w:p w:rsidR="00D07F21" w:rsidRPr="00BE1EBA" w:rsidRDefault="00D07F21" w:rsidP="00632EB7">
      <w:pPr>
        <w:pStyle w:val="DefaultText"/>
        <w:ind w:left="1134" w:hanging="567"/>
        <w:rPr>
          <w:rStyle w:val="InitialStyle"/>
        </w:rPr>
      </w:pPr>
      <w:r w:rsidRPr="00BE1EBA">
        <w:rPr>
          <w:rStyle w:val="InitialStyle"/>
        </w:rPr>
        <w:t>7.10.1</w:t>
      </w:r>
      <w:r w:rsidRPr="00BE1EBA">
        <w:tab/>
      </w:r>
      <w:r w:rsidRPr="00BE1EBA">
        <w:rPr>
          <w:rStyle w:val="InitialStyle"/>
        </w:rPr>
        <w:t>La hauteur des armoires de rangement des effets personnels ne doit pas dépasser 1372 mm (54 po).</w:t>
      </w:r>
    </w:p>
    <w:p w:rsidR="00D07F21" w:rsidRPr="00BE1EBA" w:rsidRDefault="00D07F21" w:rsidP="00632EB7">
      <w:pPr>
        <w:pStyle w:val="DefaultText"/>
        <w:ind w:left="1134" w:hanging="567"/>
        <w:rPr>
          <w:rStyle w:val="InitialStyle"/>
        </w:rPr>
      </w:pPr>
      <w:r w:rsidRPr="00BE1EBA">
        <w:rPr>
          <w:rStyle w:val="InitialStyle"/>
        </w:rPr>
        <w:t>7.10.2</w:t>
      </w:r>
      <w:r w:rsidRPr="00BE1EBA">
        <w:tab/>
      </w:r>
      <w:r w:rsidRPr="00BE1EBA">
        <w:rPr>
          <w:rStyle w:val="InitialStyle"/>
        </w:rPr>
        <w:t>Les tiroirs</w:t>
      </w:r>
      <w:r w:rsidR="003262E1" w:rsidRPr="00BE1EBA">
        <w:rPr>
          <w:rStyle w:val="InitialStyle"/>
        </w:rPr>
        <w:t>­</w:t>
      </w:r>
      <w:r w:rsidRPr="00BE1EBA">
        <w:rPr>
          <w:rStyle w:val="InitialStyle"/>
        </w:rPr>
        <w:t>classeurs doivent être configurés de sorte que les dossiers puissent être placés dans le sens de la largeur et de la longueur.</w:t>
      </w:r>
      <w:r w:rsidRPr="00BE1EBA">
        <w:tab/>
      </w:r>
    </w:p>
    <w:p w:rsidR="00D07F21" w:rsidRPr="00BE1EBA" w:rsidRDefault="00D07F21" w:rsidP="00632EB7">
      <w:pPr>
        <w:pStyle w:val="DefaultText"/>
        <w:ind w:left="1134" w:hanging="567"/>
        <w:rPr>
          <w:rStyle w:val="InitialStyle"/>
        </w:rPr>
      </w:pPr>
      <w:r w:rsidRPr="00BE1EBA">
        <w:rPr>
          <w:rStyle w:val="InitialStyle"/>
        </w:rPr>
        <w:t>7.10.3</w:t>
      </w:r>
      <w:r w:rsidRPr="00BE1EBA">
        <w:tab/>
      </w:r>
      <w:r w:rsidRPr="00BE1EBA">
        <w:rPr>
          <w:rStyle w:val="InitialStyle"/>
        </w:rPr>
        <w:t>Le compartiment de rangement doit comprendre des tablettes réglables.</w:t>
      </w:r>
    </w:p>
    <w:p w:rsidR="00D07F21" w:rsidRPr="00BE1EBA" w:rsidRDefault="00D07F21" w:rsidP="00632EB7">
      <w:pPr>
        <w:pStyle w:val="DefaultText"/>
        <w:ind w:left="1134" w:hanging="567"/>
        <w:rPr>
          <w:rStyle w:val="InitialStyle"/>
        </w:rPr>
      </w:pPr>
      <w:r w:rsidRPr="00BE1EBA">
        <w:rPr>
          <w:rStyle w:val="InitialStyle"/>
        </w:rPr>
        <w:t>7.10.4</w:t>
      </w:r>
      <w:r w:rsidRPr="00BE1EBA">
        <w:tab/>
      </w:r>
      <w:r w:rsidRPr="00BE1EBA">
        <w:rPr>
          <w:rStyle w:val="InitialStyle"/>
        </w:rPr>
        <w:t>La penderie doit comprendre une tringle à vêtements et une tablette.</w:t>
      </w:r>
    </w:p>
    <w:p w:rsidR="00D07F21" w:rsidRPr="008F2713" w:rsidRDefault="00D07F21" w:rsidP="008F2713">
      <w:pPr>
        <w:pStyle w:val="DefaultText"/>
        <w:ind w:left="1134" w:hanging="567"/>
        <w:rPr>
          <w:rStyle w:val="InitialStyle"/>
        </w:rPr>
      </w:pPr>
      <w:r w:rsidRPr="00BE1EBA">
        <w:rPr>
          <w:rStyle w:val="InitialStyle"/>
        </w:rPr>
        <w:t>7.10.5</w:t>
      </w:r>
      <w:r w:rsidRPr="00BE1EBA">
        <w:tab/>
      </w:r>
      <w:r w:rsidRPr="00BE1EBA">
        <w:rPr>
          <w:rStyle w:val="InitialStyle"/>
        </w:rPr>
        <w:t xml:space="preserve">Les charnières de la porte de la penderie et du compartiment de rangement doivent pouvoir être installées du côté droit ou du côté gauche. </w:t>
      </w:r>
    </w:p>
    <w:p w:rsidR="00D07F21" w:rsidRPr="00BE1EBA" w:rsidRDefault="00D07F21" w:rsidP="001E00F9">
      <w:pPr>
        <w:pStyle w:val="ModlesEn-tte3"/>
      </w:pPr>
      <w:bookmarkStart w:id="96" w:name="_Toc412634841"/>
      <w:r w:rsidRPr="00BE1EBA">
        <w:t>Panneaux offrant une intimité au niveau de la surface de travail</w:t>
      </w:r>
      <w:bookmarkEnd w:id="96"/>
      <w:r w:rsidRPr="00BE1EBA">
        <w:t xml:space="preserve"> </w:t>
      </w:r>
    </w:p>
    <w:p w:rsidR="00D07F21" w:rsidRPr="00BE1EBA" w:rsidRDefault="00D07F21" w:rsidP="001E00F9">
      <w:pPr>
        <w:ind w:left="567" w:hanging="567"/>
        <w:rPr>
          <w:caps/>
          <w:szCs w:val="20"/>
        </w:rPr>
      </w:pPr>
      <w:r w:rsidRPr="00BE1EBA">
        <w:t>7.11</w:t>
      </w:r>
      <w:r w:rsidRPr="00BE1EBA">
        <w:tab/>
        <w:t xml:space="preserve">Des panneaux offrant une intimité au niveau de la surface de travail doivent être installés sur les surfaces de travail. </w:t>
      </w:r>
    </w:p>
    <w:p w:rsidR="00D07F21" w:rsidRPr="00BE1EBA" w:rsidRDefault="00D07F21" w:rsidP="001E00F9">
      <w:pPr>
        <w:ind w:left="1134" w:hanging="567"/>
        <w:rPr>
          <w:caps/>
          <w:szCs w:val="20"/>
        </w:rPr>
      </w:pPr>
      <w:r w:rsidRPr="00BE1EBA">
        <w:t>7.11.1</w:t>
      </w:r>
      <w:r w:rsidRPr="00BE1EBA">
        <w:tab/>
        <w:t>L</w:t>
      </w:r>
      <w:r w:rsidR="00812400" w:rsidRPr="00BE1EBA">
        <w:t>’</w:t>
      </w:r>
      <w:r w:rsidRPr="00BE1EBA">
        <w:t xml:space="preserve">enlèvement de la quincaillerie de fixation ne doit pas endommager les surfaces de travail. </w:t>
      </w:r>
    </w:p>
    <w:p w:rsidR="00D07F21" w:rsidRPr="00BE1EBA" w:rsidRDefault="00D07F21" w:rsidP="001E00F9">
      <w:pPr>
        <w:ind w:left="1134" w:hanging="567"/>
        <w:rPr>
          <w:szCs w:val="20"/>
        </w:rPr>
      </w:pPr>
      <w:r w:rsidRPr="00BE1EBA">
        <w:t>7.11.2</w:t>
      </w:r>
      <w:r w:rsidRPr="00BE1EBA">
        <w:tab/>
        <w:t>Il n</w:t>
      </w:r>
      <w:r w:rsidR="00812400" w:rsidRPr="00BE1EBA">
        <w:t>’</w:t>
      </w:r>
      <w:r w:rsidRPr="00BE1EBA">
        <w:t>est pas nécessaire que la quincaillerie utilisée pour fixer le panneau d</w:t>
      </w:r>
      <w:r w:rsidR="00812400" w:rsidRPr="00BE1EBA">
        <w:t>’</w:t>
      </w:r>
      <w:r w:rsidRPr="00BE1EBA">
        <w:t xml:space="preserve">intimité sur la surface de travail soit dissimulée, mais elle doit tout de même être assortie aux supports de la surface de travail. </w:t>
      </w:r>
    </w:p>
    <w:p w:rsidR="00D07F21" w:rsidRPr="00BE1EBA" w:rsidRDefault="00D07F21" w:rsidP="001E00F9">
      <w:pPr>
        <w:ind w:left="1134" w:hanging="567"/>
        <w:rPr>
          <w:szCs w:val="20"/>
        </w:rPr>
      </w:pPr>
      <w:r w:rsidRPr="00BE1EBA">
        <w:t>7.11.3</w:t>
      </w:r>
      <w:r w:rsidRPr="00BE1EBA">
        <w:tab/>
        <w:t>La largeur du panneau d</w:t>
      </w:r>
      <w:r w:rsidR="00812400" w:rsidRPr="00BE1EBA">
        <w:t>’</w:t>
      </w:r>
      <w:r w:rsidRPr="00BE1EBA">
        <w:t xml:space="preserve">intimité doit correspondre à la largeur de la surface de travail. </w:t>
      </w:r>
    </w:p>
    <w:p w:rsidR="00D07F21" w:rsidRPr="00BE1EBA" w:rsidRDefault="00D07F21" w:rsidP="001E00F9">
      <w:pPr>
        <w:ind w:left="1134" w:hanging="567"/>
        <w:rPr>
          <w:szCs w:val="20"/>
        </w:rPr>
      </w:pPr>
      <w:r w:rsidRPr="00BE1EBA">
        <w:t>7.11.4</w:t>
      </w:r>
      <w:r w:rsidRPr="00BE1EBA">
        <w:tab/>
        <w:t>La hauteur totale du panneau d</w:t>
      </w:r>
      <w:r w:rsidR="00812400" w:rsidRPr="00BE1EBA">
        <w:t>’</w:t>
      </w:r>
      <w:r w:rsidRPr="00BE1EBA">
        <w:t>intimité, à partir du plancher, ne doit pas dépasser 1372 mm (54 po) lorsqu</w:t>
      </w:r>
      <w:r w:rsidR="00812400" w:rsidRPr="00BE1EBA">
        <w:t>’</w:t>
      </w:r>
      <w:r w:rsidRPr="00BE1EBA">
        <w:t>il est installé.</w:t>
      </w:r>
    </w:p>
    <w:p w:rsidR="00D07F21" w:rsidRPr="00BE1EBA" w:rsidRDefault="00D07F21" w:rsidP="001E00F9">
      <w:pPr>
        <w:pStyle w:val="ModlesEn-tte3"/>
      </w:pPr>
      <w:bookmarkStart w:id="97" w:name="_Toc412634842"/>
      <w:r w:rsidRPr="00BE1EBA">
        <w:t>Tables de réunion</w:t>
      </w:r>
      <w:bookmarkEnd w:id="97"/>
    </w:p>
    <w:p w:rsidR="00D07F21" w:rsidRPr="00BE1EBA" w:rsidRDefault="00D07F21" w:rsidP="001E00F9">
      <w:pPr>
        <w:pStyle w:val="BodyText"/>
        <w:ind w:left="567" w:hanging="567"/>
        <w:rPr>
          <w:rFonts w:ascii="Arial" w:hAnsi="Arial" w:cs="Arial"/>
          <w:b/>
          <w:sz w:val="20"/>
        </w:rPr>
      </w:pPr>
      <w:r w:rsidRPr="00BE1EBA">
        <w:rPr>
          <w:rFonts w:ascii="Arial" w:hAnsi="Arial"/>
          <w:sz w:val="20"/>
        </w:rPr>
        <w:t>7.12</w:t>
      </w:r>
      <w:r w:rsidRPr="00BE1EBA">
        <w:tab/>
      </w:r>
      <w:r w:rsidRPr="00BE1EBA">
        <w:rPr>
          <w:rFonts w:ascii="Arial" w:hAnsi="Arial"/>
          <w:sz w:val="20"/>
        </w:rPr>
        <w:t>Les tables de réunion doivent être de forme ronde ou carrée et les surfaces doivent être en placage de bois ou en stratifié haute pression.</w:t>
      </w:r>
    </w:p>
    <w:p w:rsidR="00D07F21" w:rsidRPr="00BE1EBA" w:rsidRDefault="00D07F21" w:rsidP="001E00F9">
      <w:pPr>
        <w:pStyle w:val="BodyText"/>
        <w:ind w:left="1134" w:hanging="567"/>
        <w:rPr>
          <w:rFonts w:ascii="Arial" w:hAnsi="Arial" w:cs="Arial"/>
          <w:b/>
          <w:sz w:val="20"/>
        </w:rPr>
      </w:pPr>
      <w:r w:rsidRPr="00BE1EBA">
        <w:rPr>
          <w:rFonts w:ascii="Arial" w:hAnsi="Arial"/>
          <w:sz w:val="20"/>
        </w:rPr>
        <w:lastRenderedPageBreak/>
        <w:t xml:space="preserve">7.12.1 Le piètement des tables de réunion doit être en métal. </w:t>
      </w:r>
    </w:p>
    <w:p w:rsidR="00D07F21" w:rsidRPr="00BE1EBA" w:rsidRDefault="00D07F21" w:rsidP="001E00F9">
      <w:pPr>
        <w:pStyle w:val="BodyText"/>
        <w:ind w:left="1134" w:hanging="567"/>
        <w:rPr>
          <w:rFonts w:ascii="Arial" w:hAnsi="Arial" w:cs="Arial"/>
          <w:b/>
          <w:sz w:val="20"/>
        </w:rPr>
      </w:pPr>
      <w:r w:rsidRPr="00BE1EBA">
        <w:rPr>
          <w:rFonts w:ascii="Arial" w:hAnsi="Arial"/>
          <w:sz w:val="20"/>
        </w:rPr>
        <w:t>7.12.2 Le piètement des tables de réunion peut être en forme d</w:t>
      </w:r>
      <w:r w:rsidR="00812400" w:rsidRPr="00BE1EBA">
        <w:rPr>
          <w:rFonts w:ascii="Arial" w:hAnsi="Arial"/>
          <w:sz w:val="20"/>
        </w:rPr>
        <w:t>’</w:t>
      </w:r>
      <w:r w:rsidRPr="00BE1EBA">
        <w:rPr>
          <w:rFonts w:ascii="Arial" w:hAnsi="Arial"/>
          <w:sz w:val="20"/>
        </w:rPr>
        <w:t xml:space="preserve">étoile ou de croix, et/ou doit comporter quatre pieds cylindriques ou une colonne centrale se terminant par un disque plat. </w:t>
      </w:r>
    </w:p>
    <w:p w:rsidR="00D07F21" w:rsidRPr="00BE1EBA" w:rsidRDefault="00D07F21" w:rsidP="001E00F9">
      <w:pPr>
        <w:pStyle w:val="BodyText"/>
        <w:ind w:left="1134" w:hanging="567"/>
        <w:rPr>
          <w:rFonts w:ascii="Arial" w:hAnsi="Arial" w:cs="Arial"/>
          <w:b/>
          <w:sz w:val="20"/>
        </w:rPr>
      </w:pPr>
      <w:r w:rsidRPr="00BE1EBA">
        <w:rPr>
          <w:rFonts w:ascii="Arial" w:hAnsi="Arial"/>
          <w:sz w:val="20"/>
        </w:rPr>
        <w:t>7.12.3 Les piètements et les pieds doivent être dotés d</w:t>
      </w:r>
      <w:r w:rsidR="00812400" w:rsidRPr="00BE1EBA">
        <w:rPr>
          <w:rFonts w:ascii="Arial" w:hAnsi="Arial"/>
          <w:sz w:val="20"/>
        </w:rPr>
        <w:t>’</w:t>
      </w:r>
      <w:r w:rsidRPr="00BE1EBA">
        <w:rPr>
          <w:rFonts w:ascii="Arial" w:hAnsi="Arial"/>
          <w:sz w:val="20"/>
        </w:rPr>
        <w:t>un mécanisme de mise à niveau permettant un réglage en hauteur d</w:t>
      </w:r>
      <w:r w:rsidR="00812400" w:rsidRPr="00BE1EBA">
        <w:rPr>
          <w:rFonts w:ascii="Arial" w:hAnsi="Arial"/>
          <w:sz w:val="20"/>
        </w:rPr>
        <w:t>’</w:t>
      </w:r>
      <w:r w:rsidRPr="00BE1EBA">
        <w:rPr>
          <w:rFonts w:ascii="Arial" w:hAnsi="Arial"/>
          <w:sz w:val="20"/>
        </w:rPr>
        <w:t>au moins 25 mm (1 po).</w:t>
      </w:r>
    </w:p>
    <w:p w:rsidR="00D07F21" w:rsidRPr="00BE1EBA" w:rsidRDefault="00D07F21" w:rsidP="001E00F9">
      <w:pPr>
        <w:pStyle w:val="BodyText"/>
        <w:ind w:left="1134" w:hanging="567"/>
        <w:rPr>
          <w:rFonts w:ascii="Arial" w:hAnsi="Arial" w:cs="Arial"/>
          <w:b/>
          <w:sz w:val="20"/>
        </w:rPr>
      </w:pPr>
      <w:r w:rsidRPr="00BE1EBA">
        <w:rPr>
          <w:rFonts w:ascii="Arial" w:hAnsi="Arial"/>
          <w:sz w:val="20"/>
        </w:rPr>
        <w:t xml:space="preserve">7.12.5 Les quatre pieds cylindriques doivent être dotés de roulettes blocables. </w:t>
      </w:r>
    </w:p>
    <w:p w:rsidR="00D07F21" w:rsidRPr="00BE1EBA" w:rsidRDefault="00D07F21" w:rsidP="001E00F9">
      <w:pPr>
        <w:pStyle w:val="ModlesEn-tte3"/>
      </w:pPr>
      <w:bookmarkStart w:id="98" w:name="_Toc412634843"/>
      <w:r w:rsidRPr="00BE1EBA">
        <w:t>Surfaces de travail de type comptoir</w:t>
      </w:r>
      <w:bookmarkEnd w:id="98"/>
      <w:r w:rsidRPr="00BE1EBA">
        <w:t xml:space="preserve"> </w:t>
      </w:r>
    </w:p>
    <w:p w:rsidR="00D07F21" w:rsidRPr="00BE1EBA" w:rsidRDefault="00D07F21" w:rsidP="001E00F9">
      <w:pPr>
        <w:pStyle w:val="DefaultText1"/>
        <w:shd w:val="clear" w:color="auto" w:fill="FFFFFF"/>
        <w:ind w:left="567" w:hanging="567"/>
      </w:pPr>
      <w:r w:rsidRPr="00BE1EBA">
        <w:t>7.13</w:t>
      </w:r>
      <w:r w:rsidRPr="00BE1EBA">
        <w:tab/>
        <w:t>Une surface de travail de type comptoir est composée d</w:t>
      </w:r>
      <w:r w:rsidR="00812400" w:rsidRPr="00BE1EBA">
        <w:t>’</w:t>
      </w:r>
      <w:r w:rsidRPr="00BE1EBA">
        <w:t xml:space="preserve">une série de surfaces raccordées longitudinalement les unes aux autres sur une longueur de plus de 1829 mm (72 po). </w:t>
      </w:r>
    </w:p>
    <w:p w:rsidR="00D07F21" w:rsidRPr="00BE1EBA" w:rsidRDefault="00D07F21" w:rsidP="001E00F9">
      <w:pPr>
        <w:pStyle w:val="DefaultText1"/>
        <w:shd w:val="clear" w:color="auto" w:fill="FFFFFF"/>
        <w:ind w:left="1134" w:hanging="567"/>
      </w:pPr>
      <w:r w:rsidRPr="00BE1EBA">
        <w:t xml:space="preserve">7.13.1 La profondeur de la surface de type comptoir doit mesurer au moins 610 mm (24 po). </w:t>
      </w:r>
    </w:p>
    <w:p w:rsidR="00D07F21" w:rsidRPr="00BE1EBA" w:rsidRDefault="00D07F21" w:rsidP="001E00F9">
      <w:pPr>
        <w:pStyle w:val="DefaultText1"/>
        <w:shd w:val="clear" w:color="auto" w:fill="FFFFFF"/>
        <w:ind w:left="1134" w:hanging="567"/>
      </w:pPr>
      <w:r w:rsidRPr="00BE1EBA">
        <w:t>7.13.2 Les surfaces de travail de type comptoir doivent comporter des prises électriques et des prises de données.</w:t>
      </w:r>
    </w:p>
    <w:p w:rsidR="00D07F21" w:rsidRPr="00BE1EBA" w:rsidRDefault="00D07F21" w:rsidP="00CE6317">
      <w:pPr>
        <w:pStyle w:val="ModlesEn-tte3"/>
      </w:pPr>
      <w:bookmarkStart w:id="99" w:name="_Toc412634844"/>
      <w:r w:rsidRPr="00BE1EBA">
        <w:t>8.0</w:t>
      </w:r>
      <w:r w:rsidRPr="00BE1EBA">
        <w:tab/>
        <w:t>EXIGENCES PARTICULIÈRES</w:t>
      </w:r>
      <w:r w:rsidR="002A6210" w:rsidRPr="00BE1EBA">
        <w:t xml:space="preserve"> – </w:t>
      </w:r>
      <w:r w:rsidRPr="00BE1EBA">
        <w:t>Catégories 2 et 4 (Tables ou bureaux autostables à hauteur réglable)</w:t>
      </w:r>
      <w:bookmarkEnd w:id="99"/>
    </w:p>
    <w:p w:rsidR="00D07F21" w:rsidRPr="00BE1EBA" w:rsidRDefault="00D07F21" w:rsidP="001E00F9">
      <w:pPr>
        <w:pStyle w:val="DefaultText1"/>
        <w:shd w:val="clear" w:color="auto" w:fill="FFFFFF"/>
        <w:ind w:left="567" w:hanging="567"/>
        <w:rPr>
          <w:b/>
        </w:rPr>
      </w:pPr>
      <w:r w:rsidRPr="00BE1EBA">
        <w:t>8.1</w:t>
      </w:r>
      <w:r w:rsidRPr="00BE1EBA">
        <w:tab/>
        <w:t>Les</w:t>
      </w:r>
      <w:r w:rsidRPr="00BE1EBA">
        <w:rPr>
          <w:b/>
        </w:rPr>
        <w:t xml:space="preserve"> t</w:t>
      </w:r>
      <w:r w:rsidRPr="00BE1EBA">
        <w:t>ables ou bureaux autostables à hauteur réglable</w:t>
      </w:r>
      <w:r w:rsidRPr="00BE1EBA">
        <w:rPr>
          <w:b/>
        </w:rPr>
        <w:t xml:space="preserve"> </w:t>
      </w:r>
      <w:r w:rsidRPr="00BE1EBA">
        <w:t>doivent avoir une profondeur</w:t>
      </w:r>
      <w:r w:rsidRPr="00BE1EBA">
        <w:rPr>
          <w:b/>
        </w:rPr>
        <w:t xml:space="preserve"> </w:t>
      </w:r>
      <w:r w:rsidRPr="00BE1EBA">
        <w:t>d</w:t>
      </w:r>
      <w:r w:rsidR="00812400" w:rsidRPr="00BE1EBA">
        <w:t>’</w:t>
      </w:r>
      <w:r w:rsidRPr="00BE1EBA">
        <w:t xml:space="preserve">au moins 610 mm (24 po) et une largeur entre 762 mm (30 po) à 1524 mm (60 po). La tolérance indiquée dans le Catalogue de produits du gouvernement du Canada pour la largeur et la profondeur de toutes les surfaces de travail est de </w:t>
      </w:r>
      <w:r w:rsidR="003262E1" w:rsidRPr="00BE1EBA">
        <w:t>­</w:t>
      </w:r>
      <w:r w:rsidRPr="00BE1EBA">
        <w:t>76 mm (</w:t>
      </w:r>
      <w:r w:rsidR="003262E1" w:rsidRPr="00BE1EBA">
        <w:t>­</w:t>
      </w:r>
      <w:r w:rsidRPr="00BE1EBA">
        <w:t>3 po).</w:t>
      </w:r>
    </w:p>
    <w:p w:rsidR="00D07F21" w:rsidRPr="00BE1EBA" w:rsidRDefault="00D07F21" w:rsidP="001E00F9">
      <w:pPr>
        <w:pStyle w:val="ModlesEn-tte3"/>
      </w:pPr>
      <w:bookmarkStart w:id="100" w:name="_Toc412634845"/>
      <w:r w:rsidRPr="00BE1EBA">
        <w:t>Surfaces de travail à hauteur réglable en continu</w:t>
      </w:r>
      <w:bookmarkEnd w:id="100"/>
    </w:p>
    <w:p w:rsidR="00D07F21" w:rsidRPr="00BE1EBA" w:rsidRDefault="00D07F21" w:rsidP="001E00F9">
      <w:pPr>
        <w:pStyle w:val="DefaultText1"/>
        <w:shd w:val="clear" w:color="auto" w:fill="FFFFFF"/>
        <w:ind w:left="567" w:hanging="567"/>
      </w:pPr>
      <w:r w:rsidRPr="00BE1EBA">
        <w:t>8.2</w:t>
      </w:r>
      <w:r w:rsidRPr="00BE1EBA">
        <w:tab/>
        <w:t>Des surfaces de travail à hauteur réglable en continu doivent être offertes dans une plage de hauteurs en position assise ou en position assise ou debout.</w:t>
      </w:r>
    </w:p>
    <w:p w:rsidR="00D07F21" w:rsidRPr="00BE1EBA" w:rsidRDefault="00D07F21" w:rsidP="001E00F9">
      <w:pPr>
        <w:pStyle w:val="DefaultText1"/>
        <w:shd w:val="clear" w:color="auto" w:fill="FFFFFF"/>
        <w:ind w:left="567" w:hanging="567"/>
      </w:pPr>
      <w:r w:rsidRPr="00BE1EBA">
        <w:t>8.3</w:t>
      </w:r>
      <w:r w:rsidRPr="00BE1EBA">
        <w:tab/>
        <w:t>Le mécanisme de réglage des surfaces de travail par l</w:t>
      </w:r>
      <w:r w:rsidR="00812400" w:rsidRPr="00BE1EBA">
        <w:t>’</w:t>
      </w:r>
      <w:r w:rsidRPr="00BE1EBA">
        <w:t>utilisateur doit être commandé au moyen d</w:t>
      </w:r>
      <w:r w:rsidR="00812400" w:rsidRPr="00BE1EBA">
        <w:t>’</w:t>
      </w:r>
      <w:r w:rsidRPr="00BE1EBA">
        <w:t>une manivelle, d</w:t>
      </w:r>
      <w:r w:rsidR="00812400" w:rsidRPr="00BE1EBA">
        <w:t>’</w:t>
      </w:r>
      <w:r w:rsidRPr="00BE1EBA">
        <w:t>un dispositif à contrepoids, d</w:t>
      </w:r>
      <w:r w:rsidR="00812400" w:rsidRPr="00BE1EBA">
        <w:t>’</w:t>
      </w:r>
      <w:r w:rsidRPr="00BE1EBA">
        <w:t>une barre de torsion, d</w:t>
      </w:r>
      <w:r w:rsidR="00812400" w:rsidRPr="00BE1EBA">
        <w:t>’</w:t>
      </w:r>
      <w:r w:rsidRPr="00BE1EBA">
        <w:t>un vérin à gaz comprimé ou d</w:t>
      </w:r>
      <w:r w:rsidR="00812400" w:rsidRPr="00BE1EBA">
        <w:t>’</w:t>
      </w:r>
      <w:r w:rsidRPr="00BE1EBA">
        <w:t xml:space="preserve">une commande électrique. </w:t>
      </w:r>
    </w:p>
    <w:p w:rsidR="00D07F21" w:rsidRPr="00BE1EBA" w:rsidRDefault="00D07F21" w:rsidP="001E00F9">
      <w:pPr>
        <w:pStyle w:val="DefaultText1"/>
        <w:shd w:val="clear" w:color="auto" w:fill="FFFFFF"/>
        <w:ind w:left="1134" w:hanging="567"/>
      </w:pPr>
      <w:r w:rsidRPr="00BE1EBA">
        <w:t>8.3.1</w:t>
      </w:r>
      <w:r w:rsidRPr="00BE1EBA">
        <w:tab/>
        <w:t>Les mécanismes électriques doivent être homologués CSA.</w:t>
      </w:r>
    </w:p>
    <w:p w:rsidR="00D07F21" w:rsidRPr="00BE1EBA" w:rsidRDefault="00D07F21" w:rsidP="001E00F9">
      <w:pPr>
        <w:pStyle w:val="ModlesEn-tte3"/>
      </w:pPr>
      <w:bookmarkStart w:id="101" w:name="_Toc412634846"/>
      <w:r w:rsidRPr="00BE1EBA">
        <w:t>Plage de hauteurs en position assise</w:t>
      </w:r>
      <w:bookmarkEnd w:id="101"/>
    </w:p>
    <w:p w:rsidR="00D07F21" w:rsidRPr="00BE1EBA" w:rsidRDefault="00D07F21" w:rsidP="008F2713">
      <w:pPr>
        <w:pStyle w:val="DefaultText1"/>
        <w:shd w:val="clear" w:color="auto" w:fill="FFFFFF"/>
        <w:ind w:left="567" w:hanging="567"/>
      </w:pPr>
      <w:r w:rsidRPr="00BE1EBA">
        <w:t>8.4</w:t>
      </w:r>
      <w:r w:rsidRPr="00BE1EBA">
        <w:tab/>
        <w:t>Les surfaces de travail à hauteur réglable en continu en position assise doivent être conformes aux exigences de la norme CAN/CGSB</w:t>
      </w:r>
      <w:r w:rsidR="003262E1" w:rsidRPr="00BE1EBA">
        <w:t>­</w:t>
      </w:r>
      <w:r w:rsidRPr="00BE1EBA">
        <w:t>44.227</w:t>
      </w:r>
      <w:r w:rsidR="003262E1" w:rsidRPr="00BE1EBA">
        <w:t>­</w:t>
      </w:r>
      <w:r w:rsidRPr="00BE1EBA">
        <w:t xml:space="preserve">2008. </w:t>
      </w:r>
    </w:p>
    <w:p w:rsidR="00D07F21" w:rsidRPr="00BE1EBA" w:rsidRDefault="00D07F21" w:rsidP="001E00F9">
      <w:pPr>
        <w:pStyle w:val="ModlesEn-tte3"/>
      </w:pPr>
      <w:bookmarkStart w:id="102" w:name="_Toc412634847"/>
      <w:r w:rsidRPr="00BE1EBA">
        <w:t>Plage de hauteurs en position assise ou debout</w:t>
      </w:r>
      <w:bookmarkEnd w:id="102"/>
    </w:p>
    <w:p w:rsidR="00D07F21" w:rsidRPr="00BE1EBA" w:rsidRDefault="00D07F21" w:rsidP="008F2713">
      <w:pPr>
        <w:pStyle w:val="DefaultText1"/>
        <w:shd w:val="clear" w:color="auto" w:fill="FFFFFF"/>
        <w:ind w:left="567" w:hanging="567"/>
      </w:pPr>
      <w:r w:rsidRPr="00BE1EBA">
        <w:t>8.5</w:t>
      </w:r>
      <w:r w:rsidRPr="00BE1EBA">
        <w:tab/>
        <w:t>La surface principale doit pouvoir être réglée en hauteur entre 710 mm et 1040 mm (27 à 41 po).</w:t>
      </w:r>
    </w:p>
    <w:p w:rsidR="00D07F21" w:rsidRPr="00BE1EBA" w:rsidRDefault="00D07F21" w:rsidP="00DB4E1A">
      <w:pPr>
        <w:pStyle w:val="DefaultText1"/>
        <w:keepNext/>
        <w:keepLines/>
        <w:shd w:val="clear" w:color="auto" w:fill="FFFFFF"/>
        <w:ind w:left="720" w:hanging="720"/>
        <w:rPr>
          <w:b/>
        </w:rPr>
      </w:pPr>
      <w:r w:rsidRPr="00BE1EBA">
        <w:rPr>
          <w:b/>
        </w:rPr>
        <w:t>Surfaces de travail à hauteur réglable par incréments</w:t>
      </w:r>
      <w:r w:rsidR="002A6210" w:rsidRPr="00BE1EBA">
        <w:rPr>
          <w:b/>
        </w:rPr>
        <w:t xml:space="preserve">     </w:t>
      </w:r>
    </w:p>
    <w:p w:rsidR="00D07F21" w:rsidRPr="00BE1EBA" w:rsidRDefault="00D07F21" w:rsidP="00DB4E1A">
      <w:pPr>
        <w:pStyle w:val="DefaultText"/>
        <w:keepNext/>
        <w:keepLines/>
        <w:ind w:left="567" w:hanging="567"/>
        <w:rPr>
          <w:rStyle w:val="InitialStyle"/>
          <w:b/>
        </w:rPr>
      </w:pPr>
      <w:r w:rsidRPr="00BE1EBA">
        <w:rPr>
          <w:rStyle w:val="InitialStyle"/>
        </w:rPr>
        <w:t>8.6</w:t>
      </w:r>
      <w:r w:rsidRPr="00BE1EBA">
        <w:tab/>
        <w:t>La tolérance indiquée dans le Catalogue de produits du gouvernement du Canada pour la largeur et la profondeur de toutes les surfaces de travail est de ± 25,4 mm (1 po).</w:t>
      </w:r>
    </w:p>
    <w:p w:rsidR="00D07F21" w:rsidRPr="00BE1EBA" w:rsidRDefault="00D07F21" w:rsidP="00D07F21">
      <w:pPr>
        <w:pStyle w:val="DefaultText1"/>
        <w:shd w:val="clear" w:color="auto" w:fill="FFFFFF"/>
        <w:ind w:left="709" w:hanging="709"/>
        <w:rPr>
          <w:rStyle w:val="InitialStyle"/>
          <w:b/>
          <w:color w:val="auto"/>
        </w:rPr>
      </w:pPr>
    </w:p>
    <w:p w:rsidR="00D07F21" w:rsidRPr="00BE1EBA" w:rsidRDefault="00D07F21" w:rsidP="00984A68">
      <w:pPr>
        <w:pStyle w:val="DefaultText1"/>
        <w:keepNext/>
        <w:keepLines/>
        <w:shd w:val="clear" w:color="auto" w:fill="FFFFFF"/>
        <w:ind w:left="567" w:hanging="567"/>
        <w:rPr>
          <w:rStyle w:val="InitialStyle"/>
          <w:color w:val="auto"/>
        </w:rPr>
      </w:pPr>
      <w:r w:rsidRPr="00BE1EBA">
        <w:rPr>
          <w:rStyle w:val="InitialStyle"/>
          <w:b/>
          <w:color w:val="auto"/>
        </w:rPr>
        <w:t xml:space="preserve">9.0 </w:t>
      </w:r>
      <w:r w:rsidRPr="00BE1EBA">
        <w:tab/>
      </w:r>
      <w:r w:rsidRPr="00BE1EBA">
        <w:rPr>
          <w:b/>
        </w:rPr>
        <w:t>EXIGENCES PARTICULIÈRES – Catégorie 3 (Classeurs et armoires de rangement en métal</w:t>
      </w:r>
      <w:r w:rsidRPr="00BE1EBA">
        <w:rPr>
          <w:rStyle w:val="InitialStyle"/>
          <w:b/>
          <w:color w:val="auto"/>
        </w:rPr>
        <w:t>)</w:t>
      </w:r>
    </w:p>
    <w:p w:rsidR="00D07F21" w:rsidRPr="00BE1EBA" w:rsidRDefault="00D07F21" w:rsidP="00870B2D">
      <w:pPr>
        <w:pStyle w:val="DefaultText1"/>
        <w:keepNext/>
        <w:keepLines/>
        <w:shd w:val="clear" w:color="auto" w:fill="FFFFFF"/>
        <w:ind w:left="567" w:hanging="567"/>
        <w:rPr>
          <w:rStyle w:val="InitialStyle"/>
          <w:color w:val="auto"/>
        </w:rPr>
      </w:pPr>
      <w:r w:rsidRPr="00BE1EBA">
        <w:rPr>
          <w:rStyle w:val="InitialStyle"/>
          <w:color w:val="auto"/>
        </w:rPr>
        <w:t>9.1</w:t>
      </w:r>
      <w:r w:rsidRPr="00BE1EBA">
        <w:tab/>
      </w:r>
      <w:r w:rsidRPr="00BE1EBA">
        <w:rPr>
          <w:rStyle w:val="InitialStyle"/>
          <w:color w:val="auto"/>
        </w:rPr>
        <w:t>Les éléments de classement et de rangement en métal doivent être des classeurs latéraux et verticaux, des armoires de rangement, des caissons ou des armoires de rangement pour les effets personnels.</w:t>
      </w:r>
    </w:p>
    <w:p w:rsidR="00D07F21" w:rsidRPr="00BE1EBA" w:rsidRDefault="00D07F21" w:rsidP="00870B2D">
      <w:pPr>
        <w:pStyle w:val="PlainText"/>
        <w:ind w:left="1134" w:hanging="567"/>
        <w:rPr>
          <w:rFonts w:ascii="Arial" w:hAnsi="Arial"/>
          <w:color w:val="auto"/>
          <w:sz w:val="20"/>
          <w:szCs w:val="20"/>
        </w:rPr>
      </w:pPr>
      <w:r w:rsidRPr="00BE1EBA">
        <w:rPr>
          <w:rStyle w:val="InitialStyle"/>
          <w:color w:val="auto"/>
        </w:rPr>
        <w:t>9.1.1</w:t>
      </w:r>
      <w:r w:rsidRPr="00BE1EBA">
        <w:tab/>
      </w:r>
      <w:r w:rsidRPr="00BE1EBA">
        <w:rPr>
          <w:rFonts w:ascii="Arial" w:hAnsi="Arial"/>
          <w:color w:val="auto"/>
          <w:sz w:val="20"/>
        </w:rPr>
        <w:t>Patins – Les classeurs et les armoires de rangement en métal doivent tous être dotés de quatre patins permettant un réglage en hauteur minimal de 19 mm (0,75 po). Les patins doivent être réglables à partir de l</w:t>
      </w:r>
      <w:r w:rsidR="00812400" w:rsidRPr="00BE1EBA">
        <w:rPr>
          <w:rFonts w:ascii="Arial" w:hAnsi="Arial"/>
          <w:color w:val="auto"/>
          <w:sz w:val="20"/>
        </w:rPr>
        <w:t>’</w:t>
      </w:r>
      <w:r w:rsidRPr="00BE1EBA">
        <w:rPr>
          <w:rFonts w:ascii="Arial" w:hAnsi="Arial"/>
          <w:color w:val="auto"/>
          <w:sz w:val="20"/>
        </w:rPr>
        <w:t>intérieur de l</w:t>
      </w:r>
      <w:r w:rsidR="00812400" w:rsidRPr="00BE1EBA">
        <w:rPr>
          <w:rFonts w:ascii="Arial" w:hAnsi="Arial"/>
          <w:color w:val="auto"/>
          <w:sz w:val="20"/>
        </w:rPr>
        <w:t>’</w:t>
      </w:r>
      <w:r w:rsidRPr="00BE1EBA">
        <w:rPr>
          <w:rFonts w:ascii="Arial" w:hAnsi="Arial"/>
          <w:color w:val="auto"/>
          <w:sz w:val="20"/>
        </w:rPr>
        <w:t xml:space="preserve">armoire. </w:t>
      </w:r>
    </w:p>
    <w:p w:rsidR="00D07F21" w:rsidRPr="00BE1EBA" w:rsidRDefault="00D07F21" w:rsidP="00870B2D">
      <w:pPr>
        <w:ind w:left="1134" w:hanging="567"/>
        <w:rPr>
          <w:szCs w:val="20"/>
        </w:rPr>
      </w:pPr>
      <w:r w:rsidRPr="00BE1EBA">
        <w:t>9.1.2</w:t>
      </w:r>
      <w:r w:rsidRPr="00BE1EBA">
        <w:tab/>
        <w:t>Suspension – Le mécanisme de suspension des tiroirs doit permettre l</w:t>
      </w:r>
      <w:r w:rsidR="00812400" w:rsidRPr="00BE1EBA">
        <w:t>’</w:t>
      </w:r>
      <w:r w:rsidRPr="00BE1EBA">
        <w:t>ouverture de ces derniers jusqu</w:t>
      </w:r>
      <w:r w:rsidR="00812400" w:rsidRPr="00BE1EBA">
        <w:t>’</w:t>
      </w:r>
      <w:r w:rsidRPr="00BE1EBA">
        <w:t>à ce que l</w:t>
      </w:r>
      <w:r w:rsidR="00812400" w:rsidRPr="00BE1EBA">
        <w:t>’</w:t>
      </w:r>
      <w:r w:rsidRPr="00BE1EBA">
        <w:t>arrière du tiroir dépasse la façade de l</w:t>
      </w:r>
      <w:r w:rsidR="00812400" w:rsidRPr="00BE1EBA">
        <w:t>’</w:t>
      </w:r>
      <w:r w:rsidRPr="00BE1EBA">
        <w:t>armoire.</w:t>
      </w:r>
    </w:p>
    <w:p w:rsidR="00D07F21" w:rsidRPr="00BE1EBA" w:rsidRDefault="00D07F21" w:rsidP="00870B2D">
      <w:pPr>
        <w:ind w:left="1134" w:hanging="567"/>
        <w:rPr>
          <w:szCs w:val="20"/>
        </w:rPr>
      </w:pPr>
      <w:r w:rsidRPr="00BE1EBA">
        <w:lastRenderedPageBreak/>
        <w:t>9.1.3</w:t>
      </w:r>
      <w:r w:rsidRPr="00BE1EBA">
        <w:tab/>
        <w:t>Coussins d</w:t>
      </w:r>
      <w:r w:rsidR="00812400" w:rsidRPr="00BE1EBA">
        <w:t>’</w:t>
      </w:r>
      <w:r w:rsidRPr="00BE1EBA">
        <w:t>assise –</w:t>
      </w:r>
      <w:r w:rsidRPr="00BE1EBA">
        <w:rPr>
          <w:rStyle w:val="InitialStyle"/>
        </w:rPr>
        <w:t xml:space="preserve"> Lorsqu</w:t>
      </w:r>
      <w:r w:rsidR="00812400" w:rsidRPr="00BE1EBA">
        <w:rPr>
          <w:rStyle w:val="InitialStyle"/>
        </w:rPr>
        <w:t>’</w:t>
      </w:r>
      <w:r w:rsidRPr="00BE1EBA">
        <w:rPr>
          <w:rStyle w:val="InitialStyle"/>
        </w:rPr>
        <w:t xml:space="preserve">un cousin est exigé, il doit </w:t>
      </w:r>
      <w:r w:rsidRPr="00BE1EBA">
        <w:t>être rembourré sur le dessus et le dessous et ne doit pas glisser du dessus. Il doit pouvoir être enlevé</w:t>
      </w:r>
      <w:r w:rsidRPr="00BE1EBA">
        <w:rPr>
          <w:rStyle w:val="InitialStyle"/>
        </w:rPr>
        <w:t xml:space="preserve"> sans endommager la surface de l</w:t>
      </w:r>
      <w:r w:rsidR="00812400" w:rsidRPr="00BE1EBA">
        <w:rPr>
          <w:rStyle w:val="InitialStyle"/>
        </w:rPr>
        <w:t>’</w:t>
      </w:r>
      <w:r w:rsidRPr="00BE1EBA">
        <w:rPr>
          <w:rStyle w:val="InitialStyle"/>
        </w:rPr>
        <w:t xml:space="preserve">armoire. </w:t>
      </w:r>
    </w:p>
    <w:p w:rsidR="00D07F21" w:rsidRPr="00BE1EBA" w:rsidRDefault="00D07F21" w:rsidP="00D07F21">
      <w:pPr>
        <w:pStyle w:val="DefaultText1"/>
        <w:shd w:val="clear" w:color="auto" w:fill="FFFFFF"/>
        <w:ind w:left="720" w:hanging="720"/>
        <w:rPr>
          <w:rStyle w:val="InitialStyle"/>
          <w:b/>
          <w:color w:val="auto"/>
        </w:rPr>
      </w:pPr>
      <w:r w:rsidRPr="00BE1EBA">
        <w:rPr>
          <w:rStyle w:val="InitialStyle"/>
          <w:b/>
          <w:color w:val="auto"/>
        </w:rPr>
        <w:t>Classeurs latéraux</w:t>
      </w:r>
    </w:p>
    <w:p w:rsidR="00D07F21" w:rsidRPr="00BE1EBA" w:rsidRDefault="00D07F21" w:rsidP="00153D21">
      <w:pPr>
        <w:pStyle w:val="DefaultText1"/>
        <w:shd w:val="clear" w:color="auto" w:fill="FFFFFF"/>
        <w:ind w:left="567" w:right="-138" w:hanging="567"/>
        <w:rPr>
          <w:rStyle w:val="InitialStyle"/>
          <w:color w:val="auto"/>
        </w:rPr>
      </w:pPr>
      <w:r w:rsidRPr="00BE1EBA">
        <w:rPr>
          <w:rStyle w:val="InitialStyle"/>
          <w:color w:val="auto"/>
        </w:rPr>
        <w:t>9.2</w:t>
      </w:r>
      <w:r w:rsidRPr="00BE1EBA">
        <w:tab/>
      </w:r>
      <w:r w:rsidRPr="00BE1EBA">
        <w:rPr>
          <w:rStyle w:val="InitialStyle"/>
          <w:color w:val="auto"/>
        </w:rPr>
        <w:t xml:space="preserve">Les classeurs latéraux doivent être configurés avec 2, 3, 4 et 5 tiroirs. Chaque tiroir doit comporter au moins deux séparateurs amovibles, des barres de suspension pour dossiers et des barres de conversion pour passer du format ministre au format lettre. </w:t>
      </w:r>
    </w:p>
    <w:p w:rsidR="00D07F21" w:rsidRPr="00BE1EBA" w:rsidRDefault="00D07F21" w:rsidP="00153D21">
      <w:pPr>
        <w:pStyle w:val="DefaultText1"/>
        <w:shd w:val="clear" w:color="auto" w:fill="FFFFFF"/>
        <w:ind w:left="1134" w:hanging="567"/>
        <w:rPr>
          <w:rStyle w:val="InitialStyle"/>
          <w:color w:val="auto"/>
        </w:rPr>
      </w:pPr>
      <w:r w:rsidRPr="00BE1EBA">
        <w:rPr>
          <w:rStyle w:val="InitialStyle"/>
          <w:color w:val="auto"/>
        </w:rPr>
        <w:t>9.2.1</w:t>
      </w:r>
      <w:r w:rsidRPr="00BE1EBA">
        <w:tab/>
        <w:t>Les contrepoids doivent être conformes aux exigences de la norme ANSI/BIFMA X5.9–2012 relatives à la stabilité des éléments de rangement lorsque ceux</w:t>
      </w:r>
      <w:r w:rsidR="003262E1" w:rsidRPr="00BE1EBA">
        <w:t>­</w:t>
      </w:r>
      <w:r w:rsidRPr="00BE1EBA">
        <w:t>ci ne se trouvent pas sous une surface de travail.</w:t>
      </w:r>
      <w:r w:rsidRPr="00BE1EBA">
        <w:rPr>
          <w:rStyle w:val="InitialStyle"/>
          <w:color w:val="auto"/>
        </w:rPr>
        <w:t xml:space="preserve"> </w:t>
      </w:r>
    </w:p>
    <w:p w:rsidR="00D07F21" w:rsidRPr="00BE1EBA" w:rsidRDefault="00D07F21" w:rsidP="00153D21">
      <w:pPr>
        <w:pStyle w:val="PlainText"/>
        <w:ind w:left="1134" w:hanging="567"/>
        <w:rPr>
          <w:rStyle w:val="InitialStyle"/>
          <w:color w:val="auto"/>
        </w:rPr>
      </w:pPr>
      <w:r w:rsidRPr="00BE1EBA">
        <w:rPr>
          <w:rFonts w:ascii="Arial" w:hAnsi="Arial"/>
          <w:color w:val="auto"/>
          <w:sz w:val="20"/>
        </w:rPr>
        <w:t>9.2.2</w:t>
      </w:r>
      <w:r w:rsidRPr="00BE1EBA">
        <w:tab/>
      </w:r>
      <w:r w:rsidRPr="00BE1EBA">
        <w:rPr>
          <w:rFonts w:ascii="Arial" w:hAnsi="Arial"/>
          <w:color w:val="auto"/>
          <w:sz w:val="20"/>
        </w:rPr>
        <w:t>Dispositif de sécurité – Les classeurs latéraux ayant deux éléments coulissants ou plus doivent être munis d</w:t>
      </w:r>
      <w:r w:rsidR="00812400" w:rsidRPr="00BE1EBA">
        <w:rPr>
          <w:rFonts w:ascii="Arial" w:hAnsi="Arial"/>
          <w:color w:val="auto"/>
          <w:sz w:val="20"/>
        </w:rPr>
        <w:t>’</w:t>
      </w:r>
      <w:r w:rsidRPr="00BE1EBA">
        <w:rPr>
          <w:rFonts w:ascii="Arial" w:hAnsi="Arial"/>
          <w:color w:val="auto"/>
          <w:sz w:val="20"/>
        </w:rPr>
        <w:t>un dispositif de sécurité. Ce dispositif doit empêcher qu</w:t>
      </w:r>
      <w:r w:rsidR="00812400" w:rsidRPr="00BE1EBA">
        <w:rPr>
          <w:rFonts w:ascii="Arial" w:hAnsi="Arial"/>
          <w:color w:val="auto"/>
          <w:sz w:val="20"/>
        </w:rPr>
        <w:t>’</w:t>
      </w:r>
      <w:r w:rsidRPr="00BE1EBA">
        <w:rPr>
          <w:rFonts w:ascii="Arial" w:hAnsi="Arial"/>
          <w:color w:val="auto"/>
          <w:sz w:val="20"/>
        </w:rPr>
        <w:t>un tiroir puisse être ouvert de plus de 51 mm (2 po) lorsque l</w:t>
      </w:r>
      <w:r w:rsidR="00812400" w:rsidRPr="00BE1EBA">
        <w:rPr>
          <w:rFonts w:ascii="Arial" w:hAnsi="Arial"/>
          <w:color w:val="auto"/>
          <w:sz w:val="20"/>
        </w:rPr>
        <w:t>’</w:t>
      </w:r>
      <w:r w:rsidRPr="00BE1EBA">
        <w:rPr>
          <w:rFonts w:ascii="Arial" w:hAnsi="Arial"/>
          <w:color w:val="auto"/>
          <w:sz w:val="20"/>
        </w:rPr>
        <w:t>un des autres tiroirs n</w:t>
      </w:r>
      <w:r w:rsidR="00812400" w:rsidRPr="00BE1EBA">
        <w:rPr>
          <w:rFonts w:ascii="Arial" w:hAnsi="Arial"/>
          <w:color w:val="auto"/>
          <w:sz w:val="20"/>
        </w:rPr>
        <w:t>’</w:t>
      </w:r>
      <w:r w:rsidRPr="00BE1EBA">
        <w:rPr>
          <w:rFonts w:ascii="Arial" w:hAnsi="Arial"/>
          <w:color w:val="auto"/>
          <w:sz w:val="20"/>
        </w:rPr>
        <w:t>est pas complètement fermé. Il doit être impossible d</w:t>
      </w:r>
      <w:r w:rsidR="00812400" w:rsidRPr="00BE1EBA">
        <w:rPr>
          <w:rFonts w:ascii="Arial" w:hAnsi="Arial"/>
          <w:color w:val="auto"/>
          <w:sz w:val="20"/>
        </w:rPr>
        <w:t>’</w:t>
      </w:r>
      <w:r w:rsidRPr="00BE1EBA">
        <w:rPr>
          <w:rFonts w:ascii="Arial" w:hAnsi="Arial"/>
          <w:color w:val="auto"/>
          <w:sz w:val="20"/>
        </w:rPr>
        <w:t xml:space="preserve">ouvrir deux tiroirs en même temps. </w:t>
      </w:r>
    </w:p>
    <w:p w:rsidR="00D07F21" w:rsidRPr="00BE1EBA" w:rsidRDefault="00D07F21" w:rsidP="00153D21">
      <w:pPr>
        <w:pStyle w:val="DefaultText1"/>
        <w:shd w:val="clear" w:color="auto" w:fill="FFFFFF"/>
        <w:ind w:left="1134" w:hanging="567"/>
        <w:rPr>
          <w:rStyle w:val="InitialStyle"/>
          <w:color w:val="auto"/>
        </w:rPr>
      </w:pPr>
      <w:r w:rsidRPr="00BE1EBA">
        <w:rPr>
          <w:rStyle w:val="InitialStyle"/>
          <w:color w:val="auto"/>
        </w:rPr>
        <w:t>9.2.3</w:t>
      </w:r>
      <w:r w:rsidRPr="00BE1EBA">
        <w:tab/>
      </w:r>
      <w:r w:rsidRPr="00BE1EBA">
        <w:rPr>
          <w:rStyle w:val="InitialStyle"/>
          <w:color w:val="auto"/>
        </w:rPr>
        <w:t>Les tiroirs doivent comporter des façades fixes ou des tablettes coulissantes avec des portes escamotables.</w:t>
      </w:r>
    </w:p>
    <w:p w:rsidR="00D07F21" w:rsidRPr="00BE1EBA" w:rsidRDefault="00D07F21" w:rsidP="00153D21">
      <w:pPr>
        <w:pStyle w:val="PlainText"/>
        <w:ind w:left="1134" w:hanging="567"/>
        <w:rPr>
          <w:rFonts w:ascii="Arial" w:hAnsi="Arial"/>
          <w:color w:val="auto"/>
          <w:sz w:val="20"/>
          <w:szCs w:val="20"/>
        </w:rPr>
      </w:pPr>
      <w:r w:rsidRPr="00BE1EBA">
        <w:rPr>
          <w:rFonts w:ascii="Arial" w:hAnsi="Arial"/>
          <w:color w:val="auto"/>
          <w:sz w:val="20"/>
        </w:rPr>
        <w:t>9.2.4</w:t>
      </w:r>
      <w:r w:rsidRPr="00BE1EBA">
        <w:tab/>
      </w:r>
      <w:r w:rsidRPr="00BE1EBA">
        <w:rPr>
          <w:rFonts w:ascii="Arial" w:hAnsi="Arial"/>
          <w:color w:val="auto"/>
          <w:sz w:val="20"/>
        </w:rPr>
        <w:t>Le fond et/ou l</w:t>
      </w:r>
      <w:r w:rsidR="00812400" w:rsidRPr="00BE1EBA">
        <w:rPr>
          <w:rFonts w:ascii="Arial" w:hAnsi="Arial"/>
          <w:color w:val="auto"/>
          <w:sz w:val="20"/>
        </w:rPr>
        <w:t>’</w:t>
      </w:r>
      <w:r w:rsidRPr="00BE1EBA">
        <w:rPr>
          <w:rFonts w:ascii="Arial" w:hAnsi="Arial"/>
          <w:color w:val="auto"/>
          <w:sz w:val="20"/>
        </w:rPr>
        <w:t xml:space="preserve">arrière du tiroir et/ou de la tablette coulissante doivent être pourvus de fentes pour y insérer les séparateurs. </w:t>
      </w:r>
    </w:p>
    <w:p w:rsidR="00D07F21" w:rsidRPr="00BE1EBA" w:rsidRDefault="00D07F21" w:rsidP="00153D21">
      <w:pPr>
        <w:pStyle w:val="PlainText"/>
        <w:ind w:left="1134" w:hanging="567"/>
        <w:rPr>
          <w:rFonts w:ascii="Arial" w:hAnsi="Arial"/>
          <w:color w:val="auto"/>
          <w:sz w:val="20"/>
          <w:szCs w:val="20"/>
        </w:rPr>
      </w:pPr>
      <w:r w:rsidRPr="00BE1EBA">
        <w:rPr>
          <w:rFonts w:ascii="Arial" w:hAnsi="Arial"/>
          <w:color w:val="auto"/>
          <w:sz w:val="20"/>
        </w:rPr>
        <w:t>9.2.5</w:t>
      </w:r>
      <w:r w:rsidRPr="00BE1EBA">
        <w:tab/>
      </w:r>
      <w:r w:rsidRPr="00BE1EBA">
        <w:rPr>
          <w:rFonts w:ascii="Arial" w:hAnsi="Arial"/>
          <w:color w:val="auto"/>
          <w:sz w:val="20"/>
        </w:rPr>
        <w:t>Le bord avant du fond de la tablette coulissante doit être incurvé vers le haut.</w:t>
      </w:r>
    </w:p>
    <w:p w:rsidR="00D07F21" w:rsidRPr="00BE1EBA" w:rsidRDefault="00D07F21" w:rsidP="00153D21">
      <w:pPr>
        <w:pStyle w:val="PlainText"/>
        <w:ind w:left="1134" w:hanging="567"/>
        <w:rPr>
          <w:rFonts w:ascii="Arial" w:hAnsi="Arial"/>
          <w:color w:val="auto"/>
          <w:sz w:val="20"/>
          <w:szCs w:val="20"/>
        </w:rPr>
      </w:pPr>
      <w:r w:rsidRPr="00BE1EBA">
        <w:rPr>
          <w:rFonts w:ascii="Arial" w:hAnsi="Arial"/>
          <w:sz w:val="20"/>
        </w:rPr>
        <w:t>9.2.6</w:t>
      </w:r>
      <w:r w:rsidRPr="00BE1EBA">
        <w:tab/>
      </w:r>
      <w:r w:rsidRPr="00BE1EBA">
        <w:rPr>
          <w:rStyle w:val="InitialStyle"/>
        </w:rPr>
        <w:t>Lorsqu</w:t>
      </w:r>
      <w:r w:rsidR="00812400" w:rsidRPr="00BE1EBA">
        <w:rPr>
          <w:rStyle w:val="InitialStyle"/>
        </w:rPr>
        <w:t>’</w:t>
      </w:r>
      <w:r w:rsidRPr="00BE1EBA">
        <w:rPr>
          <w:rStyle w:val="InitialStyle"/>
        </w:rPr>
        <w:t xml:space="preserve">un coussin est exigé, il doit être posé sur un classeur latéral à deux (2) tiroirs. </w:t>
      </w:r>
    </w:p>
    <w:p w:rsidR="00D07F21" w:rsidRPr="00BE1EBA" w:rsidRDefault="00D07F21" w:rsidP="00D07F21">
      <w:pPr>
        <w:rPr>
          <w:b/>
          <w:szCs w:val="20"/>
        </w:rPr>
      </w:pPr>
      <w:r w:rsidRPr="00BE1EBA">
        <w:rPr>
          <w:b/>
        </w:rPr>
        <w:t>Classeurs verticaux</w:t>
      </w:r>
    </w:p>
    <w:p w:rsidR="00D07F21" w:rsidRPr="008F2713" w:rsidRDefault="00D07F21" w:rsidP="008F2713">
      <w:pPr>
        <w:pStyle w:val="BodyText"/>
        <w:ind w:left="567" w:hanging="567"/>
        <w:jc w:val="both"/>
        <w:rPr>
          <w:rFonts w:ascii="Arial" w:hAnsi="Arial" w:cs="Arial"/>
          <w:b/>
          <w:caps/>
          <w:sz w:val="20"/>
        </w:rPr>
      </w:pPr>
      <w:r w:rsidRPr="00BE1EBA">
        <w:rPr>
          <w:rStyle w:val="InitialStyle"/>
          <w:color w:val="auto"/>
        </w:rPr>
        <w:t>9.3</w:t>
      </w:r>
      <w:r w:rsidRPr="00BE1EBA">
        <w:tab/>
      </w:r>
      <w:r w:rsidRPr="00BE1EBA">
        <w:rPr>
          <w:rStyle w:val="InitialStyle"/>
          <w:color w:val="auto"/>
        </w:rPr>
        <w:t>Les classeurs verticaux doivent être configurés avec 2, 3 ou 4 tiroirs.</w:t>
      </w:r>
    </w:p>
    <w:p w:rsidR="00D07F21" w:rsidRPr="00BE1EBA" w:rsidRDefault="00D07F21" w:rsidP="00E42C32">
      <w:pPr>
        <w:pStyle w:val="ModlesEn-tte3"/>
      </w:pPr>
      <w:bookmarkStart w:id="103" w:name="_Toc412634848"/>
      <w:r w:rsidRPr="00BE1EBA">
        <w:t>Armoires de rangement</w:t>
      </w:r>
      <w:bookmarkEnd w:id="103"/>
    </w:p>
    <w:p w:rsidR="00D07F21" w:rsidRPr="008F2713" w:rsidRDefault="00D07F21" w:rsidP="008F2713">
      <w:pPr>
        <w:pStyle w:val="BodyText"/>
        <w:ind w:left="567" w:hanging="567"/>
        <w:jc w:val="both"/>
        <w:rPr>
          <w:rFonts w:ascii="Arial" w:hAnsi="Arial" w:cs="Arial"/>
          <w:b/>
          <w:sz w:val="20"/>
        </w:rPr>
      </w:pPr>
      <w:r w:rsidRPr="00BE1EBA">
        <w:rPr>
          <w:rFonts w:ascii="Arial" w:hAnsi="Arial"/>
          <w:sz w:val="20"/>
        </w:rPr>
        <w:t>9.4</w:t>
      </w:r>
      <w:r w:rsidRPr="00BE1EBA">
        <w:tab/>
      </w:r>
      <w:r w:rsidRPr="00BE1EBA">
        <w:rPr>
          <w:rFonts w:ascii="Arial" w:hAnsi="Arial"/>
          <w:sz w:val="20"/>
        </w:rPr>
        <w:t>Les tablettes des armoires de rangement doivent être réglables. Les tablettes d</w:t>
      </w:r>
      <w:r w:rsidR="00812400" w:rsidRPr="00BE1EBA">
        <w:rPr>
          <w:rFonts w:ascii="Arial" w:hAnsi="Arial"/>
          <w:sz w:val="20"/>
        </w:rPr>
        <w:t>’</w:t>
      </w:r>
      <w:r w:rsidRPr="00BE1EBA">
        <w:rPr>
          <w:rFonts w:ascii="Arial" w:hAnsi="Arial"/>
          <w:sz w:val="20"/>
        </w:rPr>
        <w:t>une même armoire de rangement doivent être interchangeables et couvrir la pleine largeur et la pleine profondeur du compartiment intérieur.</w:t>
      </w:r>
    </w:p>
    <w:p w:rsidR="00D07F21" w:rsidRPr="00BE1EBA" w:rsidRDefault="00D07F21" w:rsidP="00DF6DEB">
      <w:pPr>
        <w:pStyle w:val="ModlesEn-tte3"/>
        <w:keepLines/>
        <w:ind w:hanging="562"/>
        <w:rPr>
          <w:caps/>
        </w:rPr>
      </w:pPr>
      <w:bookmarkStart w:id="104" w:name="_Toc412634849"/>
      <w:r w:rsidRPr="00BE1EBA">
        <w:t>Serrures des classeurs et des armoires de rangement</w:t>
      </w:r>
      <w:bookmarkEnd w:id="104"/>
      <w:r w:rsidRPr="00BE1EBA">
        <w:t xml:space="preserve"> </w:t>
      </w:r>
    </w:p>
    <w:p w:rsidR="00984A68" w:rsidRPr="00984A68" w:rsidRDefault="00D07F21" w:rsidP="00984A68">
      <w:pPr>
        <w:pStyle w:val="BodyText"/>
        <w:keepNext/>
        <w:keepLines/>
        <w:numPr>
          <w:ilvl w:val="1"/>
          <w:numId w:val="20"/>
        </w:numPr>
        <w:tabs>
          <w:tab w:val="left" w:pos="567"/>
        </w:tabs>
        <w:overflowPunct/>
        <w:autoSpaceDE/>
        <w:autoSpaceDN/>
        <w:adjustRightInd/>
        <w:ind w:left="567" w:hanging="561"/>
        <w:jc w:val="both"/>
        <w:textAlignment w:val="auto"/>
        <w:rPr>
          <w:rFonts w:ascii="Arial" w:hAnsi="Arial" w:cs="Arial"/>
          <w:sz w:val="20"/>
        </w:rPr>
      </w:pPr>
      <w:r w:rsidRPr="00984A68">
        <w:rPr>
          <w:rFonts w:ascii="Arial" w:hAnsi="Arial"/>
          <w:sz w:val="20"/>
        </w:rPr>
        <w:t>Les tiroirs et les portes doivent être dotés de serrures à clé.</w:t>
      </w:r>
    </w:p>
    <w:p w:rsidR="00D07F21" w:rsidRPr="00BE1EBA" w:rsidRDefault="00D07F21" w:rsidP="00984A68">
      <w:pPr>
        <w:pStyle w:val="BodyText"/>
        <w:keepNext/>
        <w:keepLines/>
        <w:ind w:left="1134" w:hanging="561"/>
        <w:jc w:val="both"/>
        <w:rPr>
          <w:rFonts w:ascii="Arial" w:hAnsi="Arial" w:cs="Arial"/>
          <w:b/>
          <w:sz w:val="20"/>
        </w:rPr>
      </w:pPr>
      <w:r w:rsidRPr="00BE1EBA">
        <w:rPr>
          <w:rFonts w:ascii="Arial" w:hAnsi="Arial"/>
          <w:sz w:val="20"/>
        </w:rPr>
        <w:t>9.5.1</w:t>
      </w:r>
      <w:r w:rsidRPr="00BE1EBA">
        <w:tab/>
      </w:r>
      <w:r w:rsidRPr="00BE1EBA">
        <w:rPr>
          <w:rFonts w:ascii="Arial" w:hAnsi="Arial"/>
          <w:sz w:val="20"/>
        </w:rPr>
        <w:t>Les serrures doivent être du type à goupilles, à gorges et à clavettes et doivent présenter un fini anticorrosion.</w:t>
      </w:r>
    </w:p>
    <w:p w:rsidR="00D07F21" w:rsidRPr="00BE1EBA" w:rsidRDefault="00D07F21" w:rsidP="00984A68">
      <w:pPr>
        <w:pStyle w:val="BodyText"/>
        <w:keepNext/>
        <w:keepLines/>
        <w:ind w:left="1134" w:hanging="561"/>
        <w:jc w:val="both"/>
        <w:rPr>
          <w:rFonts w:ascii="Arial" w:hAnsi="Arial" w:cs="Arial"/>
          <w:b/>
          <w:sz w:val="20"/>
        </w:rPr>
      </w:pPr>
      <w:r w:rsidRPr="00BE1EBA">
        <w:rPr>
          <w:rFonts w:ascii="Arial" w:hAnsi="Arial"/>
          <w:sz w:val="20"/>
        </w:rPr>
        <w:t>9.5.2</w:t>
      </w:r>
      <w:r w:rsidRPr="00BE1EBA">
        <w:tab/>
      </w:r>
      <w:r w:rsidRPr="00BE1EBA">
        <w:rPr>
          <w:rFonts w:ascii="Arial" w:hAnsi="Arial"/>
          <w:sz w:val="20"/>
        </w:rPr>
        <w:t>Les serrures et les cylindres doivent être conçus pour être facilement installés ou remplacés sur place.</w:t>
      </w:r>
    </w:p>
    <w:p w:rsidR="00D07F21" w:rsidRPr="00BE1EBA" w:rsidRDefault="00D07F21" w:rsidP="00E42C32">
      <w:pPr>
        <w:pStyle w:val="ModlesEn-tte3"/>
      </w:pPr>
      <w:bookmarkStart w:id="105" w:name="_Toc412634850"/>
      <w:r w:rsidRPr="00BE1EBA">
        <w:t>Caissons</w:t>
      </w:r>
      <w:bookmarkEnd w:id="105"/>
    </w:p>
    <w:p w:rsidR="00D07F21" w:rsidRPr="00BE1EBA" w:rsidRDefault="00D07F21" w:rsidP="00984A68">
      <w:pPr>
        <w:pStyle w:val="DefaultText1"/>
        <w:numPr>
          <w:ilvl w:val="1"/>
          <w:numId w:val="20"/>
        </w:numPr>
        <w:shd w:val="clear" w:color="auto" w:fill="FFFFFF"/>
        <w:tabs>
          <w:tab w:val="clear" w:pos="0"/>
        </w:tabs>
        <w:overflowPunct/>
        <w:ind w:left="709" w:hanging="709"/>
        <w:textAlignment w:val="auto"/>
      </w:pPr>
      <w:r w:rsidRPr="00BE1EBA">
        <w:t>Les caissons doivent être autostables, ou supporter une surface de travail ou être mobiles ou mobiles avec coussin d</w:t>
      </w:r>
      <w:r w:rsidR="00812400" w:rsidRPr="00BE1EBA">
        <w:t>’</w:t>
      </w:r>
      <w:r w:rsidRPr="00BE1EBA">
        <w:t xml:space="preserve">assise. </w:t>
      </w:r>
    </w:p>
    <w:p w:rsidR="00D07F21" w:rsidRPr="00BE1EBA" w:rsidRDefault="00D07F21" w:rsidP="00984A68">
      <w:pPr>
        <w:pStyle w:val="DefaultText1"/>
        <w:shd w:val="clear" w:color="auto" w:fill="FFFFFF"/>
        <w:ind w:left="1134" w:hanging="567"/>
      </w:pPr>
      <w:r w:rsidRPr="00BE1EBA">
        <w:t>9.6.1</w:t>
      </w:r>
      <w:r w:rsidRPr="00BE1EBA">
        <w:tab/>
        <w:t>Tous les caissons doivent comporter un tiroir supérieur qui est muni d</w:t>
      </w:r>
      <w:r w:rsidR="00812400" w:rsidRPr="00BE1EBA">
        <w:t>’</w:t>
      </w:r>
      <w:r w:rsidRPr="00BE1EBA">
        <w:t xml:space="preserve">un plumier amovible et qui occupe la pleine largeur du tiroir. </w:t>
      </w:r>
    </w:p>
    <w:p w:rsidR="00D07F21" w:rsidRPr="00BE1EBA" w:rsidRDefault="00D07F21" w:rsidP="00153D21">
      <w:pPr>
        <w:pStyle w:val="DefaultText1"/>
        <w:shd w:val="clear" w:color="auto" w:fill="FFFFFF"/>
        <w:ind w:left="1134" w:hanging="567"/>
      </w:pPr>
      <w:r w:rsidRPr="00BE1EBA">
        <w:t>9.6.2</w:t>
      </w:r>
      <w:r w:rsidRPr="00BE1EBA">
        <w:tab/>
        <w:t>Tous les caissons doivent être munis d</w:t>
      </w:r>
      <w:r w:rsidR="00812400" w:rsidRPr="00BE1EBA">
        <w:t>’</w:t>
      </w:r>
      <w:r w:rsidRPr="00BE1EBA">
        <w:t>au moins un tiroir</w:t>
      </w:r>
      <w:r w:rsidR="003262E1" w:rsidRPr="00BE1EBA">
        <w:t>­</w:t>
      </w:r>
      <w:r w:rsidRPr="00BE1EBA">
        <w:t>classeur inférieur et d</w:t>
      </w:r>
      <w:r w:rsidR="00812400" w:rsidRPr="00BE1EBA">
        <w:t>’</w:t>
      </w:r>
      <w:r w:rsidRPr="00BE1EBA">
        <w:t>un tiroir supérieur ou de deux tiroirs</w:t>
      </w:r>
      <w:r w:rsidR="003262E1" w:rsidRPr="00BE1EBA">
        <w:t>­</w:t>
      </w:r>
      <w:r w:rsidRPr="00BE1EBA">
        <w:t xml:space="preserve">classeurs. </w:t>
      </w:r>
    </w:p>
    <w:p w:rsidR="00D07F21" w:rsidRPr="00BE1EBA" w:rsidRDefault="00D07F21" w:rsidP="00153D21">
      <w:pPr>
        <w:pStyle w:val="DefaultText1"/>
        <w:shd w:val="clear" w:color="auto" w:fill="FFFFFF"/>
        <w:ind w:left="1134" w:hanging="567"/>
      </w:pPr>
      <w:r w:rsidRPr="00BE1EBA">
        <w:t>9.6.3</w:t>
      </w:r>
      <w:r w:rsidRPr="00BE1EBA">
        <w:tab/>
        <w:t>Le tiroir</w:t>
      </w:r>
      <w:r w:rsidR="003262E1" w:rsidRPr="00BE1EBA">
        <w:t>­</w:t>
      </w:r>
      <w:r w:rsidRPr="00BE1EBA">
        <w:t xml:space="preserve">classeur doit comprendre au moins deux (2) intercalaires de dossiers amovibles ou une barre de suspension de dossiers. </w:t>
      </w:r>
    </w:p>
    <w:p w:rsidR="00D07F21" w:rsidRPr="00BE1EBA" w:rsidRDefault="00D07F21" w:rsidP="00153D21">
      <w:pPr>
        <w:pStyle w:val="DefaultText1"/>
        <w:shd w:val="clear" w:color="auto" w:fill="FFFFFF"/>
        <w:ind w:left="1134" w:hanging="567"/>
      </w:pPr>
      <w:r w:rsidRPr="00BE1EBA">
        <w:t>9.6.4</w:t>
      </w:r>
      <w:r w:rsidRPr="00BE1EBA">
        <w:tab/>
        <w:t>Des roulettes conçues pour rouler sur la moquette ou une surface dure doivent être fournies. Les caissons mobiles doivent être munis de roulettes blocables.</w:t>
      </w:r>
    </w:p>
    <w:p w:rsidR="00D07F21" w:rsidRPr="00BE1EBA" w:rsidRDefault="00D07F21" w:rsidP="00E42C32">
      <w:pPr>
        <w:pStyle w:val="ModlesEn-tte3"/>
        <w:rPr>
          <w:rStyle w:val="InitialStyle"/>
          <w:rFonts w:cs="Times New Roman"/>
        </w:rPr>
      </w:pPr>
      <w:bookmarkStart w:id="106" w:name="_Toc412634851"/>
      <w:r w:rsidRPr="00BE1EBA">
        <w:rPr>
          <w:rStyle w:val="InitialStyle"/>
        </w:rPr>
        <w:lastRenderedPageBreak/>
        <w:t>Armoires de rangement des effets personnels</w:t>
      </w:r>
      <w:bookmarkEnd w:id="106"/>
    </w:p>
    <w:p w:rsidR="00D07F21" w:rsidRPr="00BE1EBA" w:rsidRDefault="00D07F21" w:rsidP="00153D21">
      <w:pPr>
        <w:pStyle w:val="DefaultText"/>
        <w:ind w:left="567" w:hanging="567"/>
        <w:rPr>
          <w:rStyle w:val="InitialStyle"/>
        </w:rPr>
      </w:pPr>
      <w:r w:rsidRPr="00BE1EBA">
        <w:rPr>
          <w:rStyle w:val="InitialStyle"/>
        </w:rPr>
        <w:t>9.7</w:t>
      </w:r>
      <w:r w:rsidRPr="00BE1EBA">
        <w:tab/>
      </w:r>
      <w:r w:rsidRPr="00BE1EBA">
        <w:rPr>
          <w:rStyle w:val="InitialStyle"/>
        </w:rPr>
        <w:t xml:space="preserve">Les armoires de rangement des effets personnels doivent comporter deux (2) tiroirs­classeurs, un compartiment de rangement avec ou sans porte et une penderie avec porte. </w:t>
      </w:r>
    </w:p>
    <w:p w:rsidR="00D07F21" w:rsidRPr="00BE1EBA" w:rsidRDefault="00D07F21" w:rsidP="00153D21">
      <w:pPr>
        <w:pStyle w:val="DefaultText"/>
        <w:ind w:left="1134" w:hanging="567"/>
        <w:rPr>
          <w:rStyle w:val="InitialStyle"/>
        </w:rPr>
      </w:pPr>
      <w:r w:rsidRPr="00BE1EBA">
        <w:rPr>
          <w:rStyle w:val="InitialStyle"/>
        </w:rPr>
        <w:t>9.7.1</w:t>
      </w:r>
      <w:r w:rsidRPr="00BE1EBA">
        <w:tab/>
      </w:r>
      <w:r w:rsidRPr="00BE1EBA">
        <w:rPr>
          <w:rStyle w:val="InitialStyle"/>
        </w:rPr>
        <w:t>Les tiroirs</w:t>
      </w:r>
      <w:r w:rsidR="003262E1" w:rsidRPr="00BE1EBA">
        <w:rPr>
          <w:rStyle w:val="InitialStyle"/>
        </w:rPr>
        <w:t>­</w:t>
      </w:r>
      <w:r w:rsidRPr="00BE1EBA">
        <w:rPr>
          <w:rStyle w:val="InitialStyle"/>
        </w:rPr>
        <w:t>classeurs doivent être configurés de sorte que les dossiers puissent être placés dans le sens de la largeur et de la longueur.</w:t>
      </w:r>
      <w:r w:rsidRPr="00BE1EBA">
        <w:tab/>
      </w:r>
    </w:p>
    <w:p w:rsidR="00D07F21" w:rsidRPr="00BE1EBA" w:rsidRDefault="00D07F21" w:rsidP="00153D21">
      <w:pPr>
        <w:pStyle w:val="DefaultText"/>
        <w:ind w:left="1134" w:hanging="567"/>
        <w:rPr>
          <w:rStyle w:val="InitialStyle"/>
        </w:rPr>
      </w:pPr>
      <w:r w:rsidRPr="00BE1EBA">
        <w:rPr>
          <w:rStyle w:val="InitialStyle"/>
        </w:rPr>
        <w:t>9.7.2</w:t>
      </w:r>
      <w:r w:rsidRPr="00BE1EBA">
        <w:tab/>
      </w:r>
      <w:r w:rsidRPr="00BE1EBA">
        <w:rPr>
          <w:rStyle w:val="InitialStyle"/>
        </w:rPr>
        <w:t>Le compartiment de rangement doit comprendre des tablettes réglables.</w:t>
      </w:r>
    </w:p>
    <w:p w:rsidR="00D07F21" w:rsidRPr="00BE1EBA" w:rsidRDefault="00D07F21" w:rsidP="00153D21">
      <w:pPr>
        <w:pStyle w:val="DefaultText"/>
        <w:ind w:left="1134" w:hanging="567"/>
        <w:rPr>
          <w:rStyle w:val="InitialStyle"/>
        </w:rPr>
      </w:pPr>
      <w:r w:rsidRPr="00BE1EBA">
        <w:rPr>
          <w:rStyle w:val="InitialStyle"/>
        </w:rPr>
        <w:t>9.7.3</w:t>
      </w:r>
      <w:r w:rsidRPr="00BE1EBA">
        <w:tab/>
      </w:r>
      <w:r w:rsidRPr="00BE1EBA">
        <w:rPr>
          <w:rStyle w:val="InitialStyle"/>
        </w:rPr>
        <w:t xml:space="preserve">La penderie doit comprendre une tringle à vêtements et une tablette. </w:t>
      </w:r>
    </w:p>
    <w:p w:rsidR="00D07F21" w:rsidRPr="00BE1EBA" w:rsidRDefault="00D07F21" w:rsidP="00153D21">
      <w:pPr>
        <w:pStyle w:val="DefaultText"/>
        <w:ind w:left="1134" w:hanging="567"/>
        <w:rPr>
          <w:rStyle w:val="InitialStyle"/>
        </w:rPr>
      </w:pPr>
      <w:r w:rsidRPr="00BE1EBA">
        <w:rPr>
          <w:rStyle w:val="InitialStyle"/>
        </w:rPr>
        <w:t>9.7.4</w:t>
      </w:r>
      <w:r w:rsidRPr="00BE1EBA">
        <w:tab/>
      </w:r>
      <w:r w:rsidRPr="00BE1EBA">
        <w:rPr>
          <w:rStyle w:val="InitialStyle"/>
        </w:rPr>
        <w:t xml:space="preserve">Les charnières de la porte de la penderie et du compartiment de rangement doivent pouvoir être installées du côté droit ou du côté gauche. </w:t>
      </w:r>
    </w:p>
    <w:p w:rsidR="00D07F21" w:rsidRPr="00BE1EBA" w:rsidRDefault="00D07F21" w:rsidP="00D07F21">
      <w:pPr>
        <w:rPr>
          <w:b/>
          <w:szCs w:val="20"/>
        </w:rPr>
      </w:pPr>
    </w:p>
    <w:p w:rsidR="00D07F21" w:rsidRPr="00BE1EBA" w:rsidRDefault="00D07F21" w:rsidP="00153D21">
      <w:pPr>
        <w:pStyle w:val="ModlesEn-tte3"/>
      </w:pPr>
      <w:bookmarkStart w:id="107" w:name="_Toc412634852"/>
      <w:r w:rsidRPr="00BE1EBA">
        <w:t>10.0</w:t>
      </w:r>
      <w:r w:rsidRPr="00BE1EBA">
        <w:tab/>
        <w:t>EXIGENCES PARTICULIÈRES – Catégorie 5</w:t>
      </w:r>
      <w:r w:rsidR="002A6210" w:rsidRPr="00BE1EBA">
        <w:t xml:space="preserve"> – </w:t>
      </w:r>
      <w:r w:rsidRPr="00BE1EBA">
        <w:t>(Équipement auxiliaire et appareils d</w:t>
      </w:r>
      <w:r w:rsidR="00812400" w:rsidRPr="00BE1EBA">
        <w:t>’</w:t>
      </w:r>
      <w:r w:rsidRPr="00BE1EBA">
        <w:t>éclairage)</w:t>
      </w:r>
      <w:bookmarkEnd w:id="107"/>
    </w:p>
    <w:p w:rsidR="00D07F21" w:rsidRPr="00BE1EBA" w:rsidRDefault="00D07F21" w:rsidP="00153D21">
      <w:pPr>
        <w:pStyle w:val="ModlesEn-tte3"/>
      </w:pPr>
      <w:bookmarkStart w:id="108" w:name="_Toc412634853"/>
      <w:r w:rsidRPr="00BE1EBA">
        <w:t>Équipement auxiliaire</w:t>
      </w:r>
      <w:bookmarkEnd w:id="108"/>
    </w:p>
    <w:p w:rsidR="00D07F21" w:rsidRPr="00BE1EBA" w:rsidRDefault="00D07F21" w:rsidP="00153D21">
      <w:pPr>
        <w:pStyle w:val="ModlesEn-tte3"/>
      </w:pPr>
      <w:bookmarkStart w:id="109" w:name="_Toc412634854"/>
      <w:r w:rsidRPr="00BE1EBA">
        <w:t>10.1 Support pour clavier et souris</w:t>
      </w:r>
      <w:bookmarkEnd w:id="109"/>
      <w:r w:rsidR="002A6210" w:rsidRPr="00BE1EBA">
        <w:t xml:space="preserve"> </w:t>
      </w:r>
    </w:p>
    <w:p w:rsidR="00D07F21" w:rsidRPr="00BE1EBA" w:rsidRDefault="00D07F21" w:rsidP="00153D21">
      <w:pPr>
        <w:pStyle w:val="DefaultText1"/>
        <w:keepNext/>
        <w:keepLines/>
        <w:shd w:val="clear" w:color="auto" w:fill="FFFFFF"/>
        <w:tabs>
          <w:tab w:val="clear" w:pos="0"/>
          <w:tab w:val="left" w:pos="567"/>
          <w:tab w:val="left" w:pos="1440"/>
        </w:tabs>
        <w:ind w:left="567" w:hanging="567"/>
      </w:pPr>
      <w:r w:rsidRPr="00BE1EBA">
        <w:t>10.1.1</w:t>
      </w:r>
      <w:r w:rsidRPr="00BE1EBA">
        <w:tab/>
        <w:t>Le support pour clavier et souris doit être fixé à la surface de travail. Sa hauteur doit pouvoir être réglée par l</w:t>
      </w:r>
      <w:r w:rsidR="00812400" w:rsidRPr="00BE1EBA">
        <w:t>’</w:t>
      </w:r>
      <w:r w:rsidRPr="00BE1EBA">
        <w:t>utilisateur avec ou sans levier sur une plage minimale de 203 mm (8 po), à savoir entre 127 mm (5 po) en dessous de la surface de travail et 50 mm (2 po) au</w:t>
      </w:r>
      <w:r w:rsidR="003262E1" w:rsidRPr="00BE1EBA">
        <w:t>­</w:t>
      </w:r>
      <w:r w:rsidRPr="00BE1EBA">
        <w:t>dessus. Il doit également pouvoir être verrouillé à la position souhaitée. La tolérance indiquée est de ± 19 mm (± 0,75 po). Une fois que le support a été verrouillé à la position souhaitée, celui­ci doit demeurer stable pendant toute la durée de la saisie au clavier.</w:t>
      </w:r>
    </w:p>
    <w:p w:rsidR="00D07F21" w:rsidRPr="00BE1EBA" w:rsidRDefault="00D07F21" w:rsidP="007A7365">
      <w:pPr>
        <w:pStyle w:val="DefaultText1"/>
        <w:keepNext/>
        <w:keepLines/>
        <w:shd w:val="clear" w:color="auto" w:fill="FFFFFF"/>
        <w:tabs>
          <w:tab w:val="left" w:pos="1134"/>
        </w:tabs>
        <w:ind w:left="1134" w:hanging="567"/>
      </w:pPr>
      <w:r w:rsidRPr="00BE1EBA">
        <w:t>10.1.2</w:t>
      </w:r>
      <w:r w:rsidRPr="00BE1EBA">
        <w:tab/>
        <w:t>Le support pour clavier et souris doit être posé dans des rails et glisser sous la surface de travail lorsqu</w:t>
      </w:r>
      <w:r w:rsidR="00812400" w:rsidRPr="00BE1EBA">
        <w:t>’</w:t>
      </w:r>
      <w:r w:rsidRPr="00BE1EBA">
        <w:t>il n</w:t>
      </w:r>
      <w:r w:rsidR="00812400" w:rsidRPr="00BE1EBA">
        <w:t>’</w:t>
      </w:r>
      <w:r w:rsidRPr="00BE1EBA">
        <w:t>est pas utilisé.</w:t>
      </w:r>
    </w:p>
    <w:p w:rsidR="00D07F21" w:rsidRPr="00BE1EBA" w:rsidRDefault="00D07F21" w:rsidP="007A7365">
      <w:pPr>
        <w:pStyle w:val="DefaultText1"/>
        <w:shd w:val="clear" w:color="auto" w:fill="FFFFFF"/>
        <w:tabs>
          <w:tab w:val="left" w:pos="2268"/>
        </w:tabs>
        <w:ind w:left="2268" w:hanging="850"/>
      </w:pPr>
      <w:r w:rsidRPr="00BE1EBA">
        <w:t>10.1.2.1</w:t>
      </w:r>
      <w:r w:rsidRPr="00BE1EBA">
        <w:tab/>
        <w:t>Les rails doivent être fournis dans au moins deux longueurs, une longueur pouvant être fixée sous une surface de travail de 610 mm (24 po) de profondeur et une autre sous une surface de 762 mm (30 po) de profondeur.</w:t>
      </w:r>
    </w:p>
    <w:p w:rsidR="00D07F21" w:rsidRPr="00BE1EBA" w:rsidRDefault="00D07F21" w:rsidP="007A7365">
      <w:pPr>
        <w:pStyle w:val="DefaultText1"/>
        <w:shd w:val="clear" w:color="auto" w:fill="FFFFFF"/>
        <w:ind w:left="1134" w:hanging="567"/>
      </w:pPr>
      <w:r w:rsidRPr="00BE1EBA">
        <w:t>10.1.3</w:t>
      </w:r>
      <w:r w:rsidRPr="00BE1EBA">
        <w:tab/>
        <w:t>Le support pour clavier et souris doit être doté d</w:t>
      </w:r>
      <w:r w:rsidR="00812400" w:rsidRPr="00BE1EBA">
        <w:t>’</w:t>
      </w:r>
      <w:r w:rsidRPr="00BE1EBA">
        <w:t>un repose</w:t>
      </w:r>
      <w:r w:rsidR="003262E1" w:rsidRPr="00BE1EBA">
        <w:t>­</w:t>
      </w:r>
      <w:r w:rsidRPr="00BE1EBA">
        <w:t>poignets en gel, en polyuréthane ou en mousse.</w:t>
      </w:r>
    </w:p>
    <w:p w:rsidR="00D07F21" w:rsidRPr="00BE1EBA" w:rsidRDefault="00D07F21" w:rsidP="007A7365">
      <w:pPr>
        <w:pStyle w:val="DefaultText1"/>
        <w:numPr>
          <w:ilvl w:val="2"/>
          <w:numId w:val="18"/>
        </w:numPr>
        <w:shd w:val="clear" w:color="auto" w:fill="FFFFFF"/>
        <w:tabs>
          <w:tab w:val="clear" w:pos="0"/>
        </w:tabs>
        <w:overflowPunct/>
        <w:spacing w:after="0"/>
        <w:ind w:left="1134" w:hanging="567"/>
        <w:textAlignment w:val="auto"/>
      </w:pPr>
      <w:r w:rsidRPr="00BE1EBA">
        <w:t>Le support pour clavier doit avoir une profondeur lui permettant d</w:t>
      </w:r>
      <w:r w:rsidR="00812400" w:rsidRPr="00BE1EBA">
        <w:t>’</w:t>
      </w:r>
      <w:r w:rsidRPr="00BE1EBA">
        <w:t>accueillir un clavier rectangulaire standard et il doit mesurer au moins 635 mm (25 po) de largeur et doit être conçu pour empêcher le clavier et la souris de glisser de la surface.</w:t>
      </w:r>
    </w:p>
    <w:p w:rsidR="00D07F21" w:rsidRPr="00BE1EBA" w:rsidRDefault="00D07F21" w:rsidP="007A7365">
      <w:pPr>
        <w:pStyle w:val="DefaultText1"/>
        <w:numPr>
          <w:ilvl w:val="2"/>
          <w:numId w:val="18"/>
        </w:numPr>
        <w:shd w:val="clear" w:color="auto" w:fill="FFFFFF"/>
        <w:tabs>
          <w:tab w:val="clear" w:pos="0"/>
        </w:tabs>
        <w:overflowPunct/>
        <w:spacing w:after="0"/>
        <w:ind w:left="1134" w:hanging="567"/>
        <w:textAlignment w:val="auto"/>
      </w:pPr>
      <w:r w:rsidRPr="00BE1EBA">
        <w:t>Le support réglable pour souris ne doit pas nuire à la frappe de l</w:t>
      </w:r>
      <w:r w:rsidR="00812400" w:rsidRPr="00BE1EBA">
        <w:t>’</w:t>
      </w:r>
      <w:r w:rsidRPr="00BE1EBA">
        <w:t>utilisateur.</w:t>
      </w:r>
    </w:p>
    <w:p w:rsidR="00D07F21" w:rsidRPr="00BE1EBA" w:rsidRDefault="00D07F21" w:rsidP="007A7365">
      <w:pPr>
        <w:pStyle w:val="DefaultText1"/>
        <w:shd w:val="clear" w:color="auto" w:fill="FFFFFF"/>
        <w:tabs>
          <w:tab w:val="left" w:pos="1440"/>
        </w:tabs>
        <w:ind w:left="1134" w:hanging="567"/>
      </w:pPr>
      <w:r w:rsidRPr="00BE1EBA">
        <w:t>10.1.6</w:t>
      </w:r>
      <w:r w:rsidRPr="00BE1EBA">
        <w:tab/>
        <w:t>Le support pour clavier et souris doit comprendre une surface assez large pour permettre de bouger la souris, à la droite, à la gauche ou des deux côtés du clavier, et cette surface doit être montée afin de permettre d</w:t>
      </w:r>
      <w:r w:rsidR="00812400" w:rsidRPr="00BE1EBA">
        <w:t>’</w:t>
      </w:r>
      <w:r w:rsidRPr="00BE1EBA">
        <w:t xml:space="preserve">ajuster le pivotement horizontal de manière indépendante. La souris ne doit pas glisser du support. </w:t>
      </w:r>
    </w:p>
    <w:p w:rsidR="00D07F21" w:rsidRPr="00BE1EBA" w:rsidRDefault="00D07F21" w:rsidP="007A7365">
      <w:pPr>
        <w:pStyle w:val="DefaultText1"/>
        <w:shd w:val="clear" w:color="auto" w:fill="FFFFFF"/>
        <w:tabs>
          <w:tab w:val="left" w:pos="1440"/>
        </w:tabs>
        <w:ind w:left="1134" w:hanging="567"/>
      </w:pPr>
      <w:r w:rsidRPr="00BE1EBA">
        <w:t>10.1.7</w:t>
      </w:r>
      <w:r w:rsidRPr="00BE1EBA">
        <w:tab/>
        <w:t>Lorsque le support pour souris est séparé, il doit pouvoir glisser sous la surface ou pivoter de 180º vers l</w:t>
      </w:r>
      <w:r w:rsidR="00812400" w:rsidRPr="00BE1EBA">
        <w:t>’</w:t>
      </w:r>
      <w:r w:rsidRPr="00BE1EBA">
        <w:t>arrière de la surface de travail lorsque la souris n</w:t>
      </w:r>
      <w:r w:rsidR="00812400" w:rsidRPr="00BE1EBA">
        <w:t>’</w:t>
      </w:r>
      <w:r w:rsidRPr="00BE1EBA">
        <w:t>est pas utilisée.</w:t>
      </w:r>
    </w:p>
    <w:p w:rsidR="00D07F21" w:rsidRPr="00BE1EBA" w:rsidRDefault="00D07F21" w:rsidP="007A7365">
      <w:pPr>
        <w:pStyle w:val="DefaultText1"/>
        <w:shd w:val="clear" w:color="auto" w:fill="FFFFFF"/>
        <w:tabs>
          <w:tab w:val="left" w:pos="1440"/>
        </w:tabs>
        <w:ind w:left="1134" w:hanging="567"/>
      </w:pPr>
      <w:r w:rsidRPr="00BE1EBA">
        <w:t>10.1.8</w:t>
      </w:r>
      <w:r w:rsidRPr="00BE1EBA">
        <w:tab/>
        <w:t>Le support pour clavier et souris doit pouvoir être incliné vers l</w:t>
      </w:r>
      <w:r w:rsidR="00812400" w:rsidRPr="00BE1EBA">
        <w:t>’</w:t>
      </w:r>
      <w:r w:rsidRPr="00BE1EBA">
        <w:t>arrière d</w:t>
      </w:r>
      <w:r w:rsidR="00812400" w:rsidRPr="00BE1EBA">
        <w:t>’</w:t>
      </w:r>
      <w:r w:rsidRPr="00BE1EBA">
        <w:t xml:space="preserve">au moins </w:t>
      </w:r>
      <w:r w:rsidR="003262E1" w:rsidRPr="00BE1EBA">
        <w:t>­</w:t>
      </w:r>
      <w:r w:rsidRPr="00BE1EBA">
        <w:t>15º et effectuer une rotation horizontale de 360º.</w:t>
      </w:r>
    </w:p>
    <w:p w:rsidR="00D07F21" w:rsidRPr="00BE1EBA" w:rsidRDefault="00D07F21" w:rsidP="006A75A7">
      <w:pPr>
        <w:pStyle w:val="ModlesEn-tte3"/>
      </w:pPr>
      <w:bookmarkStart w:id="110" w:name="_Toc412634855"/>
      <w:r w:rsidRPr="00BE1EBA">
        <w:t>10.2</w:t>
      </w:r>
      <w:r w:rsidRPr="00BE1EBA">
        <w:tab/>
        <w:t>Support pour ordinateur</w:t>
      </w:r>
      <w:bookmarkEnd w:id="110"/>
    </w:p>
    <w:p w:rsidR="00D07F21" w:rsidRPr="00BE1EBA" w:rsidRDefault="00D07F21" w:rsidP="007A7365">
      <w:pPr>
        <w:pStyle w:val="DefaultText1"/>
        <w:shd w:val="clear" w:color="auto" w:fill="FFFFFF"/>
        <w:ind w:left="1134" w:hanging="567"/>
      </w:pPr>
      <w:r w:rsidRPr="00BE1EBA">
        <w:t>10.2.1</w:t>
      </w:r>
      <w:r w:rsidRPr="00BE1EBA">
        <w:tab/>
        <w:t xml:space="preserve">Le support doit pouvoir être fixé sous la surface de travail ou être autonome. </w:t>
      </w:r>
    </w:p>
    <w:p w:rsidR="00D07F21" w:rsidRPr="00BE1EBA" w:rsidRDefault="007A7365" w:rsidP="007A7365">
      <w:pPr>
        <w:pStyle w:val="DefaultText1"/>
        <w:shd w:val="clear" w:color="auto" w:fill="FFFFFF"/>
        <w:tabs>
          <w:tab w:val="clear" w:pos="0"/>
          <w:tab w:val="left" w:pos="1418"/>
        </w:tabs>
        <w:ind w:left="1134" w:hanging="567"/>
      </w:pPr>
      <w:r>
        <w:t xml:space="preserve">10.2.2 </w:t>
      </w:r>
      <w:r w:rsidR="00D07F21" w:rsidRPr="00BE1EBA">
        <w:t xml:space="preserve">Le modèle de support monté sous la surface de travail doit être escamotable, coulissant et pivotant. </w:t>
      </w:r>
    </w:p>
    <w:p w:rsidR="00D07F21" w:rsidRPr="00BE1EBA" w:rsidRDefault="00D07F21" w:rsidP="00284AB9">
      <w:pPr>
        <w:pStyle w:val="DefaultText1"/>
        <w:shd w:val="clear" w:color="auto" w:fill="FFFFFF"/>
        <w:ind w:left="1418" w:hanging="851"/>
      </w:pPr>
      <w:r w:rsidRPr="00BE1EBA">
        <w:t xml:space="preserve">10.2.3 Le support autonome doit être offert sous formes mobile ou fixe. </w:t>
      </w:r>
    </w:p>
    <w:p w:rsidR="00D07F21" w:rsidRPr="00BE1EBA" w:rsidRDefault="00D07F21" w:rsidP="007A7365">
      <w:pPr>
        <w:pStyle w:val="DefaultText1"/>
        <w:numPr>
          <w:ilvl w:val="2"/>
          <w:numId w:val="19"/>
        </w:numPr>
        <w:shd w:val="clear" w:color="auto" w:fill="FFFFFF"/>
        <w:tabs>
          <w:tab w:val="clear" w:pos="0"/>
        </w:tabs>
        <w:overflowPunct/>
        <w:spacing w:after="0"/>
        <w:ind w:left="1134" w:hanging="567"/>
        <w:textAlignment w:val="auto"/>
      </w:pPr>
      <w:r w:rsidRPr="00BE1EBA">
        <w:lastRenderedPageBreak/>
        <w:t>Le support pour ordinateur doit pouvoir être adapté à diverses tailles d</w:t>
      </w:r>
      <w:r w:rsidR="00812400" w:rsidRPr="00BE1EBA">
        <w:t>’</w:t>
      </w:r>
      <w:r w:rsidRPr="00BE1EBA">
        <w:t xml:space="preserve">ordinateur allant de 89 mm à 236 mm (3,5 po à 9,3 po) de largeur et de 317,5 mm à 571,5 mm (12,5 po à 22,5 po) de hauteur. </w:t>
      </w:r>
    </w:p>
    <w:p w:rsidR="00D07F21" w:rsidRPr="00BE1EBA" w:rsidRDefault="00D07F21" w:rsidP="006A75A7">
      <w:pPr>
        <w:pStyle w:val="ModlesEn-tte3"/>
      </w:pPr>
      <w:bookmarkStart w:id="111" w:name="_Toc412634856"/>
      <w:r w:rsidRPr="00BE1EBA">
        <w:t>10.3</w:t>
      </w:r>
      <w:r w:rsidRPr="00BE1EBA">
        <w:tab/>
        <w:t>Bras de moniteur</w:t>
      </w:r>
      <w:bookmarkEnd w:id="111"/>
    </w:p>
    <w:p w:rsidR="00D07F21" w:rsidRPr="00BE1EBA" w:rsidRDefault="00D07F21" w:rsidP="006A75A7">
      <w:pPr>
        <w:pStyle w:val="DefaultText1"/>
        <w:keepNext/>
        <w:keepLines/>
        <w:shd w:val="clear" w:color="auto" w:fill="FFFFFF"/>
        <w:ind w:left="1134" w:hanging="567"/>
      </w:pPr>
      <w:r w:rsidRPr="00BE1EBA">
        <w:t>10.3.1</w:t>
      </w:r>
      <w:r w:rsidRPr="00BE1EBA">
        <w:tab/>
        <w:t xml:space="preserve">Le bras doit pouvoir tenir un ou deux moniteurs. </w:t>
      </w:r>
    </w:p>
    <w:p w:rsidR="00D07F21" w:rsidRPr="00BE1EBA" w:rsidRDefault="00D07F21" w:rsidP="007A7365">
      <w:pPr>
        <w:pStyle w:val="DefaultText1"/>
        <w:keepNext/>
        <w:keepLines/>
        <w:shd w:val="clear" w:color="auto" w:fill="FFFFFF"/>
        <w:ind w:left="1134" w:hanging="567"/>
      </w:pPr>
      <w:r w:rsidRPr="00BE1EBA">
        <w:t>10.3.2</w:t>
      </w:r>
      <w:r w:rsidRPr="00BE1EBA">
        <w:tab/>
        <w:t>Le moniteur à écran plat doit être fixé solidement au bras et ne pas se déloger de la structure ni de la surface de travail.</w:t>
      </w:r>
    </w:p>
    <w:p w:rsidR="00D07F21" w:rsidRPr="00BE1EBA" w:rsidRDefault="00D07F21" w:rsidP="007A7365">
      <w:pPr>
        <w:pStyle w:val="DefaultText1"/>
        <w:shd w:val="clear" w:color="auto" w:fill="FFFFFF"/>
        <w:ind w:left="1134" w:hanging="567"/>
      </w:pPr>
      <w:r w:rsidRPr="00BE1EBA">
        <w:t>10.3.3</w:t>
      </w:r>
      <w:r w:rsidRPr="00BE1EBA">
        <w:tab/>
        <w:t>Le bras de moniteur doit être fixé au bord de la surface de travail à l</w:t>
      </w:r>
      <w:r w:rsidR="00812400" w:rsidRPr="00BE1EBA">
        <w:t>’</w:t>
      </w:r>
      <w:r w:rsidRPr="00BE1EBA">
        <w:t>aide d</w:t>
      </w:r>
      <w:r w:rsidR="00812400" w:rsidRPr="00BE1EBA">
        <w:t>’</w:t>
      </w:r>
      <w:r w:rsidRPr="00BE1EBA">
        <w:t>une pince, à l</w:t>
      </w:r>
      <w:r w:rsidR="00812400" w:rsidRPr="00BE1EBA">
        <w:t>’</w:t>
      </w:r>
      <w:r w:rsidRPr="00BE1EBA">
        <w:t>intérieur d</w:t>
      </w:r>
      <w:r w:rsidR="00812400" w:rsidRPr="00BE1EBA">
        <w:t>’</w:t>
      </w:r>
      <w:r w:rsidRPr="00BE1EBA">
        <w:t>un passe</w:t>
      </w:r>
      <w:r w:rsidR="003262E1" w:rsidRPr="00BE1EBA">
        <w:t>­</w:t>
      </w:r>
      <w:r w:rsidRPr="00BE1EBA">
        <w:t>câbles, ou à un système de rails.</w:t>
      </w:r>
    </w:p>
    <w:p w:rsidR="00D07F21" w:rsidRPr="00BE1EBA" w:rsidRDefault="00D07F21" w:rsidP="007A7365">
      <w:pPr>
        <w:pStyle w:val="DefaultText1"/>
        <w:shd w:val="clear" w:color="auto" w:fill="FFFFFF"/>
        <w:ind w:left="1134" w:hanging="567"/>
      </w:pPr>
      <w:r w:rsidRPr="00BE1EBA">
        <w:t>10.3.4</w:t>
      </w:r>
      <w:r w:rsidRPr="00BE1EBA">
        <w:tab/>
        <w:t>Chaque bras pivotant doit pouvoir supporter le poids d</w:t>
      </w:r>
      <w:r w:rsidR="00812400" w:rsidRPr="00BE1EBA">
        <w:t>’</w:t>
      </w:r>
      <w:r w:rsidRPr="00BE1EBA">
        <w:t>un moniteur d</w:t>
      </w:r>
      <w:r w:rsidR="00812400" w:rsidRPr="00BE1EBA">
        <w:t>’</w:t>
      </w:r>
      <w:r w:rsidRPr="00BE1EBA">
        <w:t xml:space="preserve">au moins 9,07 kg (20 lb). La tolérance indiquée est de </w:t>
      </w:r>
      <w:r w:rsidR="003262E1" w:rsidRPr="00BE1EBA">
        <w:t>­</w:t>
      </w:r>
      <w:r w:rsidRPr="00BE1EBA">
        <w:t>0,907 kg (</w:t>
      </w:r>
      <w:r w:rsidR="003262E1" w:rsidRPr="00BE1EBA">
        <w:t>­</w:t>
      </w:r>
      <w:r w:rsidRPr="00BE1EBA">
        <w:t>2 lb).</w:t>
      </w:r>
    </w:p>
    <w:p w:rsidR="00D07F21" w:rsidRPr="00BE1EBA" w:rsidRDefault="00D07F21" w:rsidP="007A7365">
      <w:pPr>
        <w:pStyle w:val="DefaultText1"/>
        <w:shd w:val="clear" w:color="auto" w:fill="FFFFFF"/>
        <w:ind w:left="1134" w:hanging="567"/>
      </w:pPr>
      <w:r w:rsidRPr="00BE1EBA">
        <w:t>10.3.5</w:t>
      </w:r>
      <w:r w:rsidRPr="00BE1EBA">
        <w:tab/>
        <w:t>Il est essentiel que les câbles soient retenus de façon à ne pas nuire au mouvement du moniteur.</w:t>
      </w:r>
    </w:p>
    <w:p w:rsidR="00D07F21" w:rsidRPr="00BE1EBA" w:rsidRDefault="00D07F21" w:rsidP="007A7365">
      <w:pPr>
        <w:pStyle w:val="DefaultText1"/>
        <w:shd w:val="clear" w:color="auto" w:fill="FFFFFF"/>
        <w:ind w:left="1134" w:hanging="567"/>
      </w:pPr>
      <w:r w:rsidRPr="00BE1EBA">
        <w:t>10.3.6</w:t>
      </w:r>
      <w:r w:rsidRPr="00BE1EBA">
        <w:tab/>
        <w:t>Le support de fixation, qui soutient les moniteurs, doit pouvoir s</w:t>
      </w:r>
      <w:r w:rsidR="00812400" w:rsidRPr="00BE1EBA">
        <w:t>’</w:t>
      </w:r>
      <w:r w:rsidRPr="00BE1EBA">
        <w:t xml:space="preserve">adapter à diverses tailles et à différents types de moniteurs, et comporter les composants nécessaires pour garantir un montage solide et permettre de pivoter le moniteur de la position portrait à la position paysage. </w:t>
      </w:r>
    </w:p>
    <w:p w:rsidR="00D07F21" w:rsidRPr="00BE1EBA" w:rsidRDefault="00D07F21" w:rsidP="007A7365">
      <w:pPr>
        <w:pStyle w:val="DefaultText1"/>
        <w:shd w:val="clear" w:color="auto" w:fill="FFFFFF"/>
        <w:ind w:left="1134" w:hanging="567"/>
      </w:pPr>
      <w:r w:rsidRPr="00BE1EBA">
        <w:t>10.3.7</w:t>
      </w:r>
      <w:r w:rsidRPr="00BE1EBA">
        <w:tab/>
        <w:t>Le bras de moniteur doit être fabriqué en métal et être peint à l</w:t>
      </w:r>
      <w:r w:rsidR="00812400" w:rsidRPr="00BE1EBA">
        <w:t>’</w:t>
      </w:r>
      <w:r w:rsidRPr="00BE1EBA">
        <w:t>aide d</w:t>
      </w:r>
      <w:r w:rsidR="00812400" w:rsidRPr="00BE1EBA">
        <w:t>’</w:t>
      </w:r>
      <w:r w:rsidRPr="00BE1EBA">
        <w:t>une peinture à faible teneur en composés organiques volatils.</w:t>
      </w:r>
    </w:p>
    <w:p w:rsidR="00D07F21" w:rsidRPr="00BE1EBA" w:rsidRDefault="00D07F21" w:rsidP="007A7365">
      <w:pPr>
        <w:pStyle w:val="DefaultText1"/>
        <w:shd w:val="clear" w:color="auto" w:fill="FFFFFF"/>
        <w:ind w:left="1134" w:hanging="567"/>
      </w:pPr>
      <w:r w:rsidRPr="00BE1EBA">
        <w:t>10.3.8</w:t>
      </w:r>
      <w:r w:rsidRPr="00BE1EBA">
        <w:tab/>
        <w:t>Le bras de moniteur doit pouvoir être réglé verticalement sur une plage minimale de 241 mm (9,5 po), et horizontalement, sur une plage minimale de 490 mm (19,3 po). Il doit également pivoter et permettre une rotation complète de 360 degrés sans l</w:t>
      </w:r>
      <w:r w:rsidR="00812400" w:rsidRPr="00BE1EBA">
        <w:t>’</w:t>
      </w:r>
      <w:r w:rsidRPr="00BE1EBA">
        <w:t>aide d</w:t>
      </w:r>
      <w:r w:rsidR="00812400" w:rsidRPr="00BE1EBA">
        <w:t>’</w:t>
      </w:r>
      <w:r w:rsidRPr="00BE1EBA">
        <w:t>outils.</w:t>
      </w:r>
    </w:p>
    <w:p w:rsidR="00D07F21" w:rsidRPr="00BE1EBA" w:rsidRDefault="00D07F21" w:rsidP="007A7365">
      <w:pPr>
        <w:pStyle w:val="DefaultText1"/>
        <w:shd w:val="clear" w:color="auto" w:fill="FFFFFF"/>
        <w:ind w:left="1134" w:hanging="567"/>
      </w:pPr>
      <w:r w:rsidRPr="00BE1EBA">
        <w:t>10.3.9</w:t>
      </w:r>
      <w:r w:rsidRPr="00BE1EBA">
        <w:tab/>
        <w:t xml:space="preserve">La tolérance horizontale indiquée pour le moniteur est de </w:t>
      </w:r>
      <w:r w:rsidR="003262E1" w:rsidRPr="00BE1EBA">
        <w:t>­</w:t>
      </w:r>
      <w:r w:rsidRPr="00BE1EBA">
        <w:t>25,4 mm (</w:t>
      </w:r>
      <w:r w:rsidR="003262E1" w:rsidRPr="00BE1EBA">
        <w:t>­</w:t>
      </w:r>
      <w:r w:rsidRPr="00BE1EBA">
        <w:t xml:space="preserve">1 po). </w:t>
      </w:r>
    </w:p>
    <w:p w:rsidR="00D07F21" w:rsidRPr="008F2713" w:rsidRDefault="00D07F21" w:rsidP="008F2713">
      <w:pPr>
        <w:pStyle w:val="DefaultText1"/>
        <w:shd w:val="clear" w:color="auto" w:fill="FFFFFF"/>
        <w:ind w:left="1418" w:hanging="851"/>
      </w:pPr>
      <w:r w:rsidRPr="00BE1EBA">
        <w:t>10.3.10 Le mécanisme de réglage du bras doit être commandé au moyen d</w:t>
      </w:r>
      <w:r w:rsidR="00812400" w:rsidRPr="00BE1EBA">
        <w:t>’</w:t>
      </w:r>
      <w:r w:rsidRPr="00BE1EBA">
        <w:t>un vérin à gaz ou d</w:t>
      </w:r>
      <w:r w:rsidR="00812400" w:rsidRPr="00BE1EBA">
        <w:t>’</w:t>
      </w:r>
      <w:r w:rsidRPr="00BE1EBA">
        <w:t xml:space="preserve">un ressort ou être pneumatique. </w:t>
      </w:r>
    </w:p>
    <w:p w:rsidR="00D07F21" w:rsidRPr="00BE1EBA" w:rsidRDefault="00D07F21" w:rsidP="006A75A7">
      <w:pPr>
        <w:pStyle w:val="ModlesEn-tte3"/>
      </w:pPr>
      <w:bookmarkStart w:id="112" w:name="_Toc412634857"/>
      <w:r w:rsidRPr="00BE1EBA">
        <w:t>10.4</w:t>
      </w:r>
      <w:r w:rsidRPr="00BE1EBA">
        <w:tab/>
        <w:t>Appareils d</w:t>
      </w:r>
      <w:r w:rsidR="00812400" w:rsidRPr="00BE1EBA">
        <w:t>’</w:t>
      </w:r>
      <w:r w:rsidRPr="00BE1EBA">
        <w:t>éclairage</w:t>
      </w:r>
      <w:bookmarkEnd w:id="112"/>
      <w:r w:rsidRPr="00BE1EBA">
        <w:t xml:space="preserve"> </w:t>
      </w:r>
    </w:p>
    <w:p w:rsidR="00D07F21" w:rsidRPr="00BE1EBA" w:rsidRDefault="00D07F21" w:rsidP="007A7365">
      <w:pPr>
        <w:ind w:left="1134" w:hanging="567"/>
      </w:pPr>
      <w:r w:rsidRPr="00BE1EBA">
        <w:t>10.4.1</w:t>
      </w:r>
      <w:r w:rsidRPr="00BE1EBA">
        <w:tab/>
        <w:t>Les appareils d</w:t>
      </w:r>
      <w:r w:rsidR="00812400" w:rsidRPr="00BE1EBA">
        <w:t>’</w:t>
      </w:r>
      <w:r w:rsidRPr="00BE1EBA">
        <w:t>éclairage comprennent les appareils d</w:t>
      </w:r>
      <w:r w:rsidR="00812400" w:rsidRPr="00BE1EBA">
        <w:t>’</w:t>
      </w:r>
      <w:r w:rsidRPr="00BE1EBA">
        <w:t xml:space="preserve">éclairage localisé offerts dans les modèles autostables et soutenus aux cloisons. </w:t>
      </w:r>
    </w:p>
    <w:p w:rsidR="00D07F21" w:rsidRPr="00BE1EBA" w:rsidRDefault="00D07F21" w:rsidP="007A7365">
      <w:pPr>
        <w:ind w:left="1134" w:hanging="567"/>
      </w:pPr>
      <w:r w:rsidRPr="00BE1EBA">
        <w:t>10.4.2</w:t>
      </w:r>
      <w:r w:rsidRPr="00BE1EBA">
        <w:tab/>
        <w:t>Tous les appareils d</w:t>
      </w:r>
      <w:r w:rsidR="00812400" w:rsidRPr="00BE1EBA">
        <w:t>’</w:t>
      </w:r>
      <w:r w:rsidRPr="00BE1EBA">
        <w:t>éclairage doivent être homologués CSA.</w:t>
      </w:r>
    </w:p>
    <w:p w:rsidR="00D07F21" w:rsidRPr="00BE1EBA" w:rsidRDefault="00D07F21" w:rsidP="007A7365">
      <w:pPr>
        <w:ind w:left="1134" w:hanging="567"/>
      </w:pPr>
      <w:r w:rsidRPr="00BE1EBA">
        <w:t>10.4.3</w:t>
      </w:r>
      <w:r w:rsidRPr="00BE1EBA">
        <w:tab/>
        <w:t>Les appareils d</w:t>
      </w:r>
      <w:r w:rsidR="00812400" w:rsidRPr="00BE1EBA">
        <w:t>’</w:t>
      </w:r>
      <w:r w:rsidRPr="00BE1EBA">
        <w:t>éclairage doivent être éconergétiques et dotés d</w:t>
      </w:r>
      <w:r w:rsidR="00812400" w:rsidRPr="00BE1EBA">
        <w:t>’</w:t>
      </w:r>
      <w:r w:rsidRPr="00BE1EBA">
        <w:t>un interrupteur.</w:t>
      </w:r>
    </w:p>
    <w:p w:rsidR="00D07F21" w:rsidRPr="00BE1EBA" w:rsidRDefault="00D07F21" w:rsidP="007A7365">
      <w:pPr>
        <w:ind w:left="1134" w:hanging="567"/>
      </w:pPr>
      <w:r w:rsidRPr="00BE1EBA">
        <w:t>10.4.4</w:t>
      </w:r>
      <w:r w:rsidRPr="00BE1EBA">
        <w:tab/>
        <w:t>Les appareils d</w:t>
      </w:r>
      <w:r w:rsidR="00812400" w:rsidRPr="00BE1EBA">
        <w:t>’</w:t>
      </w:r>
      <w:r w:rsidRPr="00BE1EBA">
        <w:t>éclairage autostables et ceux soutenus aux cloisons doivent comprendre un bras réglable en hauteur et un pivot permettant de modifier l</w:t>
      </w:r>
      <w:r w:rsidR="00812400" w:rsidRPr="00BE1EBA">
        <w:t>’</w:t>
      </w:r>
      <w:r w:rsidRPr="00BE1EBA">
        <w:t>orientation de la lumière ainsi qu</w:t>
      </w:r>
      <w:r w:rsidR="00812400" w:rsidRPr="00BE1EBA">
        <w:t>’</w:t>
      </w:r>
      <w:r w:rsidRPr="00BE1EBA">
        <w:t>un cordon électrique d</w:t>
      </w:r>
      <w:r w:rsidR="00812400" w:rsidRPr="00BE1EBA">
        <w:t>’</w:t>
      </w:r>
      <w:r w:rsidRPr="00BE1EBA">
        <w:t>une longueur minimale de 1829 mm (6 pi).</w:t>
      </w:r>
    </w:p>
    <w:p w:rsidR="00D07F21" w:rsidRPr="00BE1EBA" w:rsidRDefault="00D07F21" w:rsidP="007A7365">
      <w:pPr>
        <w:ind w:left="1134" w:hanging="567"/>
      </w:pPr>
      <w:r w:rsidRPr="00BE1EBA">
        <w:t>10.4.5</w:t>
      </w:r>
      <w:r w:rsidRPr="00BE1EBA">
        <w:tab/>
        <w:t>Tous les appareils d</w:t>
      </w:r>
      <w:r w:rsidR="00812400" w:rsidRPr="00BE1EBA">
        <w:t>’</w:t>
      </w:r>
      <w:r w:rsidRPr="00BE1EBA">
        <w:t>éclairage localisé doivent être munis d</w:t>
      </w:r>
      <w:r w:rsidR="00812400" w:rsidRPr="00BE1EBA">
        <w:t>’</w:t>
      </w:r>
      <w:r w:rsidRPr="00BE1EBA">
        <w:t>ampoules DEL ou fluocompactes d</w:t>
      </w:r>
      <w:r w:rsidR="00812400" w:rsidRPr="00BE1EBA">
        <w:t>’</w:t>
      </w:r>
      <w:r w:rsidRPr="00BE1EBA">
        <w:t>une durée de vie minimale de 35 000 heures.</w:t>
      </w:r>
    </w:p>
    <w:p w:rsidR="00D07F21" w:rsidRPr="00BE1EBA" w:rsidRDefault="00D07F21" w:rsidP="007A7365">
      <w:pPr>
        <w:ind w:left="1134" w:hanging="567"/>
      </w:pPr>
      <w:r w:rsidRPr="00BE1EBA">
        <w:t>10.4.6</w:t>
      </w:r>
      <w:r w:rsidRPr="00BE1EBA">
        <w:tab/>
        <w:t>Les appareils d</w:t>
      </w:r>
      <w:r w:rsidR="00812400" w:rsidRPr="00BE1EBA">
        <w:t>’</w:t>
      </w:r>
      <w:r w:rsidRPr="00BE1EBA">
        <w:t xml:space="preserve">éclairage localisé doivent être montés sur un piètement fixé à la surface de travail ou sur la cloison lattée du poste de travail. </w:t>
      </w:r>
    </w:p>
    <w:p w:rsidR="00D07F21" w:rsidRPr="00BE1EBA" w:rsidRDefault="00D07F21" w:rsidP="007A7365">
      <w:pPr>
        <w:ind w:left="1134" w:hanging="567"/>
      </w:pPr>
      <w:r w:rsidRPr="00BE1EBA">
        <w:t>10.4.7</w:t>
      </w:r>
      <w:r w:rsidRPr="00BE1EBA">
        <w:tab/>
        <w:t>Les appareils d</w:t>
      </w:r>
      <w:r w:rsidR="00812400" w:rsidRPr="00BE1EBA">
        <w:t>’</w:t>
      </w:r>
      <w:r w:rsidRPr="00BE1EBA">
        <w:t>éclairage localisé doivent être dotés d</w:t>
      </w:r>
      <w:r w:rsidR="00812400" w:rsidRPr="00BE1EBA">
        <w:t>’</w:t>
      </w:r>
      <w:r w:rsidRPr="00BE1EBA">
        <w:t>un bras articulé.</w:t>
      </w:r>
    </w:p>
    <w:p w:rsidR="00D07F21" w:rsidRPr="00BE1EBA" w:rsidRDefault="00D07F21" w:rsidP="00B538FA">
      <w:pPr>
        <w:pStyle w:val="ModlesEn-tte3"/>
      </w:pPr>
      <w:bookmarkStart w:id="113" w:name="_Toc412634858"/>
      <w:r w:rsidRPr="00BE1EBA">
        <w:t>11.0</w:t>
      </w:r>
      <w:r w:rsidRPr="00BE1EBA">
        <w:tab/>
        <w:t>EXIGENCES PARTICULIÈRES POUR LES FINIS ET LES MATÉRIAUX</w:t>
      </w:r>
      <w:bookmarkEnd w:id="113"/>
      <w:r w:rsidRPr="00BE1EBA">
        <w:t xml:space="preserve"> </w:t>
      </w:r>
    </w:p>
    <w:p w:rsidR="00D07F21" w:rsidRPr="00BE1EBA" w:rsidRDefault="00D07F21" w:rsidP="00D07F21">
      <w:pPr>
        <w:pStyle w:val="DefaultText1"/>
        <w:shd w:val="clear" w:color="auto" w:fill="FFFFFF"/>
        <w:ind w:left="720" w:hanging="720"/>
      </w:pPr>
      <w:r w:rsidRPr="00BE1EBA">
        <w:t>11.1</w:t>
      </w:r>
      <w:r w:rsidRPr="00BE1EBA">
        <w:tab/>
        <w:t>Tous les finis et les matériaux doivent satisfaire aux exigences en matière de rendement qui sont énoncées à l</w:t>
      </w:r>
      <w:r w:rsidR="00812400" w:rsidRPr="00BE1EBA">
        <w:t>’</w:t>
      </w:r>
      <w:r w:rsidRPr="00BE1EBA">
        <w:t>article 2.0, Publications et exigences d</w:t>
      </w:r>
      <w:r w:rsidR="00812400" w:rsidRPr="00BE1EBA">
        <w:t>’</w:t>
      </w:r>
      <w:r w:rsidRPr="00BE1EBA">
        <w:t>essai. À tout le moins, le soumissionnaire doit présenter une copie des finis standards du fabricant pour chacune des catégories offerte au moment de l</w:t>
      </w:r>
      <w:r w:rsidR="00812400" w:rsidRPr="00BE1EBA">
        <w:t>’</w:t>
      </w:r>
      <w:r w:rsidRPr="00BE1EBA">
        <w:t>adjudication de l</w:t>
      </w:r>
      <w:r w:rsidR="00812400" w:rsidRPr="00BE1EBA">
        <w:t>’</w:t>
      </w:r>
      <w:r w:rsidRPr="00BE1EBA">
        <w:t>arrangement en matière d</w:t>
      </w:r>
      <w:r w:rsidR="00812400" w:rsidRPr="00BE1EBA">
        <w:t>’</w:t>
      </w:r>
      <w:r w:rsidRPr="00BE1EBA">
        <w:t xml:space="preserve">approvisionnement : </w:t>
      </w:r>
    </w:p>
    <w:p w:rsidR="00D07F21" w:rsidRPr="00BE1EBA" w:rsidRDefault="00D07F21" w:rsidP="00D07F21">
      <w:pPr>
        <w:ind w:left="1418" w:hanging="709"/>
        <w:rPr>
          <w:szCs w:val="20"/>
        </w:rPr>
      </w:pPr>
      <w:r w:rsidRPr="00BE1EBA">
        <w:lastRenderedPageBreak/>
        <w:t xml:space="preserve">11.1.1 </w:t>
      </w:r>
      <w:r w:rsidRPr="00BE1EBA">
        <w:tab/>
        <w:t xml:space="preserve">tous les finis de catégorie 1 pour les tissus des cloisons et des meubles rembourrés, les surfaces de travail, les profils des rives des cloisons et des surfaces de travail autostables, les garnitures de cloisons et les supports verticaux; </w:t>
      </w:r>
    </w:p>
    <w:p w:rsidR="00D07F21" w:rsidRPr="00BE1EBA" w:rsidRDefault="00D07F21" w:rsidP="00D07F21">
      <w:pPr>
        <w:pStyle w:val="DefaultText1"/>
        <w:shd w:val="clear" w:color="auto" w:fill="FFFFFF"/>
        <w:tabs>
          <w:tab w:val="left" w:pos="1418"/>
        </w:tabs>
        <w:ind w:left="1418" w:hanging="709"/>
      </w:pPr>
      <w:r w:rsidRPr="00BE1EBA">
        <w:t>11.1.2</w:t>
      </w:r>
      <w:r w:rsidRPr="00BE1EBA">
        <w:tab/>
        <w:t xml:space="preserve">tous les finis de catégorie 2 pour les surfaces de travail, les profils des rives et les supports verticaux, y compris les panneaux de fond; </w:t>
      </w:r>
    </w:p>
    <w:p w:rsidR="00D07F21" w:rsidRPr="00BE1EBA" w:rsidRDefault="00D07F21" w:rsidP="00D07F21">
      <w:pPr>
        <w:pStyle w:val="DefaultText1"/>
        <w:shd w:val="clear" w:color="auto" w:fill="FFFFFF"/>
        <w:tabs>
          <w:tab w:val="left" w:pos="1418"/>
        </w:tabs>
        <w:ind w:left="1418" w:hanging="709"/>
      </w:pPr>
      <w:r w:rsidRPr="00BE1EBA">
        <w:t>11.1.3</w:t>
      </w:r>
      <w:r w:rsidRPr="00BE1EBA">
        <w:tab/>
        <w:t>tous les finis de catégorie 3 pour les armoires métalliques et les armoires de rangement;</w:t>
      </w:r>
    </w:p>
    <w:p w:rsidR="00D07F21" w:rsidRPr="00BE1EBA" w:rsidRDefault="00D07F21" w:rsidP="00D07F21">
      <w:pPr>
        <w:tabs>
          <w:tab w:val="left" w:pos="1418"/>
        </w:tabs>
        <w:ind w:left="1418" w:hanging="709"/>
        <w:rPr>
          <w:szCs w:val="20"/>
        </w:rPr>
      </w:pPr>
      <w:r w:rsidRPr="00BE1EBA">
        <w:t>11.1.4</w:t>
      </w:r>
      <w:r w:rsidRPr="00BE1EBA">
        <w:tab/>
        <w:t>tous les finis de catégorie 4 pour les tissus de rembourrage, les surfaces de travail, les profils des rives des surfaces de travail et des surfaces des tables de réunion, les supports verticaux et les éléments de rangement;</w:t>
      </w:r>
    </w:p>
    <w:p w:rsidR="00D07F21" w:rsidRPr="00BE1EBA" w:rsidRDefault="00D07F21" w:rsidP="00D07F21">
      <w:pPr>
        <w:tabs>
          <w:tab w:val="left" w:pos="1418"/>
        </w:tabs>
        <w:ind w:left="1418" w:hanging="709"/>
        <w:rPr>
          <w:szCs w:val="20"/>
        </w:rPr>
      </w:pPr>
      <w:r w:rsidRPr="00BE1EBA">
        <w:t>11.1.5</w:t>
      </w:r>
      <w:r w:rsidRPr="00BE1EBA">
        <w:tab/>
        <w:t>tous les finis de catégorie 5 et les supports pour clavier, les bras de moniteur, les supports pour ordinateurs et les appareils d</w:t>
      </w:r>
      <w:r w:rsidR="00812400" w:rsidRPr="00BE1EBA">
        <w:t>’</w:t>
      </w:r>
      <w:r w:rsidRPr="00BE1EBA">
        <w:t xml:space="preserve">éclairage localisé illustrés dans les catalogues des fabricants. </w:t>
      </w:r>
    </w:p>
    <w:p w:rsidR="00D07F21" w:rsidRPr="00BE1EBA" w:rsidRDefault="00D07F21" w:rsidP="003C156B">
      <w:pPr>
        <w:pStyle w:val="Style1"/>
        <w:rPr>
          <w:b/>
          <w:bCs/>
        </w:rPr>
      </w:pPr>
      <w:r w:rsidRPr="00BE1EBA">
        <w:t>11.2</w:t>
      </w:r>
      <w:r w:rsidRPr="00BE1EBA">
        <w:tab/>
        <w:t xml:space="preserve">Les panneaux vitrés doivent être transparents, givrés ou teintés et être constitués de verre de sécurité ou de plexiglas. </w:t>
      </w:r>
      <w:r w:rsidRPr="00BE1EBA">
        <w:tab/>
      </w:r>
    </w:p>
    <w:p w:rsidR="00D07F21" w:rsidRPr="00BE1EBA" w:rsidRDefault="00D07F21" w:rsidP="007A7365">
      <w:pPr>
        <w:pStyle w:val="Style1"/>
        <w:ind w:left="1134"/>
        <w:rPr>
          <w:b/>
        </w:rPr>
      </w:pPr>
      <w:r w:rsidRPr="00BE1EBA">
        <w:t>11.2.1</w:t>
      </w:r>
      <w:r w:rsidRPr="00BE1EBA">
        <w:tab/>
        <w:t>Si un verre de sécurité est utilisé, il doit satisfaire aux exigences de la norme CAN/CGSB 12.1, type 2 – trempé, ou de la norme ANSI Z97</w:t>
      </w:r>
      <w:r w:rsidR="003262E1" w:rsidRPr="00BE1EBA">
        <w:t>­</w:t>
      </w:r>
      <w:r w:rsidRPr="00BE1EBA">
        <w:t>2009.</w:t>
      </w:r>
    </w:p>
    <w:p w:rsidR="00D07F21" w:rsidRPr="00BE1EBA" w:rsidRDefault="00D07F21" w:rsidP="0030290A">
      <w:pPr>
        <w:pStyle w:val="DefaultText1"/>
        <w:shd w:val="clear" w:color="auto" w:fill="FFFFFF"/>
        <w:ind w:left="567" w:hanging="567"/>
      </w:pPr>
      <w:r w:rsidRPr="00BE1EBA">
        <w:t>11.3</w:t>
      </w:r>
      <w:r w:rsidRPr="00BE1EBA">
        <w:tab/>
        <w:t>Le tissu utilisé pour revêtir les cloisons, les tableaux d</w:t>
      </w:r>
      <w:r w:rsidR="00812400" w:rsidRPr="00BE1EBA">
        <w:t>’</w:t>
      </w:r>
      <w:r w:rsidRPr="00BE1EBA">
        <w:t>affichage et les coussins d</w:t>
      </w:r>
      <w:r w:rsidR="00812400" w:rsidRPr="00BE1EBA">
        <w:t>’</w:t>
      </w:r>
      <w:r w:rsidRPr="00BE1EBA">
        <w:t>assise doit être fait de matériaux recyclés à 100 % ou d</w:t>
      </w:r>
      <w:r w:rsidR="00812400" w:rsidRPr="00BE1EBA">
        <w:t>’</w:t>
      </w:r>
      <w:r w:rsidRPr="00BE1EBA">
        <w:t>autres matériaux écologiques appropriés.</w:t>
      </w:r>
    </w:p>
    <w:p w:rsidR="00D07F21" w:rsidRPr="00BE1EBA" w:rsidRDefault="00D07F21" w:rsidP="007A7365">
      <w:pPr>
        <w:pStyle w:val="DefaultText1"/>
        <w:shd w:val="clear" w:color="auto" w:fill="FFFFFF"/>
        <w:ind w:left="1134" w:hanging="567"/>
      </w:pPr>
      <w:r w:rsidRPr="00BE1EBA">
        <w:t>11.3.1</w:t>
      </w:r>
      <w:r w:rsidRPr="00BE1EBA">
        <w:tab/>
        <w:t>Le tissu des cloisons doit satisfaire aux exigences et aux critères d</w:t>
      </w:r>
      <w:r w:rsidR="00812400" w:rsidRPr="00BE1EBA">
        <w:t>’</w:t>
      </w:r>
      <w:r w:rsidRPr="00BE1EBA">
        <w:t>acceptation énoncés dans les Voluntary Performance Guidelines de l</w:t>
      </w:r>
      <w:r w:rsidR="00812400" w:rsidRPr="00BE1EBA">
        <w:t>’</w:t>
      </w:r>
      <w:r w:rsidRPr="00BE1EBA">
        <w:t xml:space="preserve">Association for Contract Textile (ACT) pour les cloisons revêtues de tissu et rembourrées. </w:t>
      </w:r>
    </w:p>
    <w:p w:rsidR="00D07F21" w:rsidRPr="00BE1EBA" w:rsidRDefault="00D07F21" w:rsidP="007A7365">
      <w:pPr>
        <w:pStyle w:val="DefaultText1"/>
        <w:shd w:val="clear" w:color="auto" w:fill="FFFFFF"/>
        <w:ind w:left="1134" w:hanging="567"/>
      </w:pPr>
      <w:r w:rsidRPr="00BE1EBA">
        <w:t>11.3.2</w:t>
      </w:r>
      <w:r w:rsidRPr="00BE1EBA">
        <w:tab/>
        <w:t>Le tissu des coussins d</w:t>
      </w:r>
      <w:r w:rsidR="00812400" w:rsidRPr="00BE1EBA">
        <w:t>’</w:t>
      </w:r>
      <w:r w:rsidRPr="00BE1EBA">
        <w:t>assise doit satisfaire aux exigences et aux critères d</w:t>
      </w:r>
      <w:r w:rsidR="00812400" w:rsidRPr="00BE1EBA">
        <w:t>’</w:t>
      </w:r>
      <w:r w:rsidRPr="00BE1EBA">
        <w:t>acceptation énoncés dans les Voluntary Performance Guidelines de l</w:t>
      </w:r>
      <w:r w:rsidR="00812400" w:rsidRPr="00BE1EBA">
        <w:t>’</w:t>
      </w:r>
      <w:r w:rsidRPr="00BE1EBA">
        <w:t>Association for Contract Textile (ACT) pour le rembourrage général.</w:t>
      </w:r>
    </w:p>
    <w:p w:rsidR="00D07F21" w:rsidRPr="00BE1EBA" w:rsidRDefault="00D07F21" w:rsidP="0030290A">
      <w:pPr>
        <w:ind w:left="567" w:hanging="567"/>
        <w:rPr>
          <w:szCs w:val="20"/>
        </w:rPr>
      </w:pPr>
      <w:r w:rsidRPr="00BE1EBA">
        <w:t>11.4</w:t>
      </w:r>
      <w:r w:rsidRPr="00BE1EBA">
        <w:tab/>
        <w:t>Inflammabilité : Les cloisons doivent présenter un indice de propagation de la flamme d</w:t>
      </w:r>
      <w:r w:rsidR="00812400" w:rsidRPr="00BE1EBA">
        <w:t>’</w:t>
      </w:r>
      <w:r w:rsidRPr="00BE1EBA">
        <w:t>au plus 150 et un indice de dégagement des fumées d</w:t>
      </w:r>
      <w:r w:rsidR="00812400" w:rsidRPr="00BE1EBA">
        <w:t>’</w:t>
      </w:r>
      <w:r w:rsidRPr="00BE1EBA">
        <w:t>au plus 300 lorsqu</w:t>
      </w:r>
      <w:r w:rsidR="00812400" w:rsidRPr="00BE1EBA">
        <w:t>’</w:t>
      </w:r>
      <w:r w:rsidRPr="00BE1EBA">
        <w:t>elles sont mises à l</w:t>
      </w:r>
      <w:r w:rsidR="00812400" w:rsidRPr="00BE1EBA">
        <w:t>’</w:t>
      </w:r>
      <w:r w:rsidRPr="00BE1EBA">
        <w:t>essai selon les exigences applicables du Code national du bâtiment (CNB) du Canada, conformément à la norme CAN/ULC</w:t>
      </w:r>
      <w:r w:rsidR="003262E1" w:rsidRPr="00BE1EBA">
        <w:t>­</w:t>
      </w:r>
      <w:r w:rsidRPr="00BE1EBA">
        <w:t>S102</w:t>
      </w:r>
      <w:r w:rsidR="003262E1" w:rsidRPr="00BE1EBA">
        <w:t>­</w:t>
      </w:r>
      <w:r w:rsidRPr="00BE1EBA">
        <w:t>2010. Les essais doivent être effectués sur chaque composition de tissu et construction intérieure différentes. Si la construction de la cloison change, de nouveaux essais d</w:t>
      </w:r>
      <w:r w:rsidR="00812400" w:rsidRPr="00BE1EBA">
        <w:t>’</w:t>
      </w:r>
      <w:r w:rsidRPr="00BE1EBA">
        <w:t>inflammabilité devront être réalisés.</w:t>
      </w:r>
    </w:p>
    <w:p w:rsidR="00D07F21" w:rsidRPr="00BE1EBA" w:rsidRDefault="00D07F21" w:rsidP="007A7365">
      <w:pPr>
        <w:ind w:left="1134" w:hanging="567"/>
        <w:rPr>
          <w:szCs w:val="20"/>
        </w:rPr>
      </w:pPr>
      <w:r w:rsidRPr="00BE1EBA">
        <w:t>11.4.1</w:t>
      </w:r>
      <w:r w:rsidRPr="00BE1EBA">
        <w:tab/>
        <w:t>Les tissus « identiques » en ce qui concerne la teneur en fibres et le poids sont jugés comparables à ceux qui ont été testés sur les cloisons.</w:t>
      </w:r>
    </w:p>
    <w:p w:rsidR="00D07F21" w:rsidRPr="00BE1EBA" w:rsidRDefault="00D07F21" w:rsidP="00D07F21">
      <w:pPr>
        <w:ind w:left="567" w:hanging="567"/>
        <w:rPr>
          <w:szCs w:val="20"/>
        </w:rPr>
      </w:pPr>
      <w:r w:rsidRPr="00BE1EBA">
        <w:t>11.5</w:t>
      </w:r>
      <w:r w:rsidRPr="00BE1EBA">
        <w:tab/>
        <w:t>Les panneaux de particules utilisés comme substrats doivent être de catégorie M2 ou supérieure, conformément à la norme ANSI A208</w:t>
      </w:r>
      <w:r w:rsidR="003262E1" w:rsidRPr="00BE1EBA">
        <w:t>­</w:t>
      </w:r>
      <w:r w:rsidRPr="00BE1EBA">
        <w:t>2008.1.</w:t>
      </w:r>
    </w:p>
    <w:p w:rsidR="00D07F21" w:rsidRPr="00BE1EBA" w:rsidRDefault="00D07F21" w:rsidP="008F2713">
      <w:pPr>
        <w:ind w:left="567" w:hanging="567"/>
        <w:rPr>
          <w:szCs w:val="20"/>
        </w:rPr>
      </w:pPr>
      <w:r w:rsidRPr="00BE1EBA">
        <w:t xml:space="preserve">11.6 </w:t>
      </w:r>
      <w:r w:rsidRPr="00BE1EBA">
        <w:tab/>
        <w:t>Le bois d</w:t>
      </w:r>
      <w:r w:rsidR="00812400" w:rsidRPr="00BE1EBA">
        <w:t>’</w:t>
      </w:r>
      <w:r w:rsidRPr="00BE1EBA">
        <w:t>œuvre de feuillus doit respecter les critères de qualité de la catégorie sur mesure de l</w:t>
      </w:r>
      <w:r w:rsidR="00812400" w:rsidRPr="00BE1EBA">
        <w:t>’</w:t>
      </w:r>
      <w:r w:rsidRPr="00BE1EBA">
        <w:t>Architectural Woodwork Manufacturers Association of Canada (AWMAC).</w:t>
      </w:r>
    </w:p>
    <w:p w:rsidR="00D07F21" w:rsidRPr="00BE1EBA" w:rsidRDefault="00D07F21" w:rsidP="00D07F21">
      <w:pPr>
        <w:ind w:left="567" w:hanging="567"/>
        <w:rPr>
          <w:szCs w:val="20"/>
        </w:rPr>
      </w:pPr>
      <w:r w:rsidRPr="00BE1EBA">
        <w:t>11.7</w:t>
      </w:r>
      <w:r w:rsidRPr="00BE1EBA">
        <w:tab/>
        <w:t>Le contreplaqué de feuillus doit respecter la norme ANSI/HPVA HP</w:t>
      </w:r>
      <w:r w:rsidR="003262E1" w:rsidRPr="00BE1EBA">
        <w:t>­</w:t>
      </w:r>
      <w:r w:rsidRPr="00BE1EBA">
        <w:t>1</w:t>
      </w:r>
      <w:r w:rsidR="003262E1" w:rsidRPr="00BE1EBA">
        <w:t>­</w:t>
      </w:r>
      <w:r w:rsidRPr="00BE1EBA">
        <w:t xml:space="preserve">2008 sur les essences de bouleau et être de qualité architecturale. </w:t>
      </w:r>
    </w:p>
    <w:p w:rsidR="00D07F21" w:rsidRPr="00BE1EBA" w:rsidRDefault="00D07F21" w:rsidP="0030290A">
      <w:pPr>
        <w:pStyle w:val="ModlesEn-tte3"/>
      </w:pPr>
      <w:bookmarkStart w:id="114" w:name="_Toc412634859"/>
      <w:r w:rsidRPr="00BE1EBA">
        <w:t>12.0</w:t>
      </w:r>
      <w:r w:rsidRPr="00BE1EBA">
        <w:tab/>
        <w:t>ASSURANCE DE LA QUALITÉ</w:t>
      </w:r>
      <w:bookmarkEnd w:id="114"/>
      <w:r w:rsidRPr="00BE1EBA">
        <w:t xml:space="preserve"> </w:t>
      </w:r>
    </w:p>
    <w:p w:rsidR="00D07F21" w:rsidRPr="00BE1EBA" w:rsidRDefault="00D07F21" w:rsidP="0030290A">
      <w:pPr>
        <w:ind w:left="567" w:hanging="567"/>
      </w:pPr>
      <w:r w:rsidRPr="00BE1EBA">
        <w:t>12.1</w:t>
      </w:r>
      <w:r w:rsidRPr="00BE1EBA">
        <w:tab/>
        <w:t>Le fournisseur doit avoir un système reconnu de gestion de la qualité en place à l</w:t>
      </w:r>
      <w:r w:rsidR="00812400" w:rsidRPr="00BE1EBA">
        <w:t>’</w:t>
      </w:r>
      <w:r w:rsidRPr="00BE1EBA">
        <w:t>installation de fabrication ou être conforme à la norme ISO 9001:2008.</w:t>
      </w:r>
    </w:p>
    <w:p w:rsidR="00D07F21" w:rsidRPr="00BE1EBA" w:rsidRDefault="00D07F21" w:rsidP="0030290A">
      <w:pPr>
        <w:pStyle w:val="ModlesEn-tte3"/>
      </w:pPr>
      <w:bookmarkStart w:id="115" w:name="_Toc412634860"/>
      <w:r w:rsidRPr="00BE1EBA">
        <w:t>13.0</w:t>
      </w:r>
      <w:r w:rsidRPr="00BE1EBA">
        <w:tab/>
        <w:t>PRÉPARATION POUR LA LIVRAISON</w:t>
      </w:r>
      <w:bookmarkEnd w:id="115"/>
      <w:r w:rsidRPr="00BE1EBA">
        <w:t xml:space="preserve"> </w:t>
      </w:r>
    </w:p>
    <w:p w:rsidR="00D07F21" w:rsidRPr="00BE1EBA" w:rsidRDefault="00D07F21" w:rsidP="00D07F21">
      <w:pPr>
        <w:ind w:left="720" w:hanging="720"/>
        <w:rPr>
          <w:szCs w:val="20"/>
        </w:rPr>
      </w:pPr>
      <w:r w:rsidRPr="00BE1EBA">
        <w:t>13.1</w:t>
      </w:r>
      <w:r w:rsidRPr="00BE1EBA">
        <w:tab/>
        <w:t>Outre les exigences de marquage énoncées à la section</w:t>
      </w:r>
      <w:r w:rsidR="002A6210" w:rsidRPr="00BE1EBA">
        <w:t xml:space="preserve"> </w:t>
      </w:r>
      <w:r w:rsidRPr="00BE1EBA">
        <w:t>9.0 de la norme CAN/CGSB­44.227</w:t>
      </w:r>
      <w:r w:rsidR="003262E1" w:rsidRPr="00BE1EBA">
        <w:t>­</w:t>
      </w:r>
      <w:r w:rsidRPr="00BE1EBA">
        <w:t xml:space="preserve">2008, Mobilier et composants autostables de bureau ou dans la </w:t>
      </w:r>
      <w:r w:rsidRPr="00BE1EBA">
        <w:lastRenderedPageBreak/>
        <w:t>norme CAN/CGSB­44.229</w:t>
      </w:r>
      <w:r w:rsidR="003262E1" w:rsidRPr="00BE1EBA">
        <w:t>­</w:t>
      </w:r>
      <w:r w:rsidRPr="00BE1EBA">
        <w:t>2008, Systèmes de cloisons interraccordables et composants soutenus, les cloisons, les surfaces de travail, les éléments de rangement, les composants électriques et les composants autostables doivent tous comporter les renseignements suivants écrits de façon permanente et lisible :</w:t>
      </w:r>
    </w:p>
    <w:p w:rsidR="00D07F21" w:rsidRPr="00BE1EBA" w:rsidRDefault="00D07F21" w:rsidP="0030290A">
      <w:pPr>
        <w:pStyle w:val="ListParagraph"/>
        <w:numPr>
          <w:ilvl w:val="0"/>
          <w:numId w:val="17"/>
        </w:numPr>
        <w:autoSpaceDE w:val="0"/>
        <w:autoSpaceDN w:val="0"/>
        <w:adjustRightInd w:val="0"/>
        <w:spacing w:after="0"/>
        <w:ind w:left="1134" w:hanging="283"/>
        <w:contextualSpacing w:val="0"/>
        <w:rPr>
          <w:szCs w:val="20"/>
        </w:rPr>
      </w:pPr>
      <w:r w:rsidRPr="00BE1EBA">
        <w:t>le code du produit;</w:t>
      </w:r>
    </w:p>
    <w:p w:rsidR="00D07F21" w:rsidRPr="00BE1EBA" w:rsidRDefault="00D07F21" w:rsidP="0030290A">
      <w:pPr>
        <w:pStyle w:val="ListParagraph"/>
        <w:numPr>
          <w:ilvl w:val="0"/>
          <w:numId w:val="17"/>
        </w:numPr>
        <w:autoSpaceDE w:val="0"/>
        <w:autoSpaceDN w:val="0"/>
        <w:adjustRightInd w:val="0"/>
        <w:spacing w:after="0"/>
        <w:ind w:left="1134" w:hanging="283"/>
        <w:contextualSpacing w:val="0"/>
        <w:rPr>
          <w:szCs w:val="20"/>
        </w:rPr>
      </w:pPr>
      <w:r w:rsidRPr="00BE1EBA">
        <w:t>la marque de commerce du fabricant;</w:t>
      </w:r>
    </w:p>
    <w:p w:rsidR="00D07F21" w:rsidRPr="00BE1EBA" w:rsidRDefault="00D07F21" w:rsidP="0030290A">
      <w:pPr>
        <w:pStyle w:val="ListParagraph"/>
        <w:numPr>
          <w:ilvl w:val="0"/>
          <w:numId w:val="17"/>
        </w:numPr>
        <w:autoSpaceDE w:val="0"/>
        <w:autoSpaceDN w:val="0"/>
        <w:adjustRightInd w:val="0"/>
        <w:spacing w:after="0"/>
        <w:ind w:left="1134" w:hanging="283"/>
        <w:contextualSpacing w:val="0"/>
        <w:rPr>
          <w:szCs w:val="20"/>
        </w:rPr>
      </w:pPr>
      <w:r w:rsidRPr="00BE1EBA">
        <w:t>des renseignements permettant de retracer la commande aux fins de garantie.</w:t>
      </w:r>
    </w:p>
    <w:p w:rsidR="00D07F21" w:rsidRPr="00BE1EBA" w:rsidRDefault="00D07F21" w:rsidP="00D07F21">
      <w:pPr>
        <w:rPr>
          <w:sz w:val="24"/>
        </w:rPr>
      </w:pPr>
    </w:p>
    <w:p w:rsidR="00B24B16" w:rsidRPr="00BE1EBA" w:rsidRDefault="00B24B16">
      <w:pPr>
        <w:pStyle w:val="DefaultText"/>
        <w:jc w:val="center"/>
        <w:rPr>
          <w:b/>
          <w:bCs/>
        </w:rPr>
      </w:pPr>
    </w:p>
    <w:p w:rsidR="00B24B16" w:rsidRPr="00BE1EBA" w:rsidRDefault="00B24B16">
      <w:pPr>
        <w:pStyle w:val="DefaultText"/>
      </w:pPr>
    </w:p>
    <w:p w:rsidR="00D07F21" w:rsidRPr="00E67700" w:rsidRDefault="006D3CB4" w:rsidP="00467857">
      <w:pPr>
        <w:pStyle w:val="ModlesEn-tte1"/>
      </w:pPr>
      <w:r w:rsidRPr="00BE1EBA">
        <w:br w:type="page"/>
      </w:r>
      <w:bookmarkStart w:id="116" w:name="_Toc413070293"/>
      <w:r w:rsidR="00D07F21" w:rsidRPr="00E67700">
        <w:lastRenderedPageBreak/>
        <w:t>Annexe A</w:t>
      </w:r>
      <w:r w:rsidR="003262E1" w:rsidRPr="00E67700">
        <w:t>­</w:t>
      </w:r>
      <w:r w:rsidR="00E67700">
        <w:t>2</w:t>
      </w:r>
      <w:bookmarkEnd w:id="116"/>
    </w:p>
    <w:p w:rsidR="00E67700" w:rsidRPr="00177EFE" w:rsidRDefault="00E67700" w:rsidP="00E67700">
      <w:pPr>
        <w:pStyle w:val="ModlesEn-tte3"/>
      </w:pPr>
      <w:r>
        <w:t>Exigences environnementales</w:t>
      </w:r>
      <w:r w:rsidRPr="003B42F8">
        <w:t xml:space="preserve"> </w:t>
      </w:r>
    </w:p>
    <w:p w:rsidR="00E67700" w:rsidRPr="003B42F8" w:rsidRDefault="00E67700" w:rsidP="00E67700">
      <w:pPr>
        <w:rPr>
          <w:rFonts w:asciiTheme="minorHAnsi" w:hAnsiTheme="minorHAnsi"/>
          <w:sz w:val="22"/>
          <w:szCs w:val="22"/>
        </w:rPr>
      </w:pPr>
      <w:r w:rsidRPr="003B42F8">
        <w:rPr>
          <w:rFonts w:asciiTheme="minorHAnsi" w:hAnsiTheme="minorHAnsi"/>
          <w:sz w:val="22"/>
          <w:szCs w:val="22"/>
        </w:rPr>
        <w:t>En avril 2006, le gouvernement du Canada a mis en œuvre une « Politique d'achats écologiques », comme l'a exigé le Secrétariat du Conseil du Trésor du Canada. La politique vise à favoriser la protection de l'environnement et à appuyer le développement durable en intégrant des facteurs environnementaux à la prise de décisions en matière d'achats.</w:t>
      </w:r>
    </w:p>
    <w:p w:rsidR="00E67700" w:rsidRPr="003B42F8" w:rsidRDefault="00E67700" w:rsidP="00E67700">
      <w:pPr>
        <w:pStyle w:val="ModlesEn-tte3"/>
        <w:rPr>
          <w:lang w:eastAsia="en-CA"/>
        </w:rPr>
      </w:pPr>
      <w:r w:rsidRPr="003B42F8">
        <w:rPr>
          <w:lang w:eastAsia="en-CA"/>
        </w:rPr>
        <w:t>1.0</w:t>
      </w:r>
      <w:r w:rsidRPr="003B42F8">
        <w:rPr>
          <w:lang w:eastAsia="en-CA"/>
        </w:rPr>
        <w:tab/>
        <w:t>Matériaux</w:t>
      </w:r>
    </w:p>
    <w:p w:rsidR="00E67700" w:rsidRPr="003B42F8" w:rsidRDefault="00E67700" w:rsidP="00E67700">
      <w:pPr>
        <w:ind w:left="567" w:hanging="567"/>
        <w:rPr>
          <w:rFonts w:asciiTheme="minorHAnsi" w:hAnsiTheme="minorHAnsi"/>
          <w:bCs/>
          <w:iCs/>
          <w:sz w:val="22"/>
          <w:szCs w:val="22"/>
          <w:lang w:eastAsia="en-CA"/>
        </w:rPr>
      </w:pPr>
      <w:r w:rsidRPr="003B42F8">
        <w:rPr>
          <w:rFonts w:asciiTheme="minorHAnsi" w:hAnsiTheme="minorHAnsi"/>
          <w:sz w:val="22"/>
          <w:szCs w:val="22"/>
          <w:lang w:eastAsia="en-CA"/>
        </w:rPr>
        <w:t>1.1.</w:t>
      </w:r>
      <w:r w:rsidRPr="003B42F8">
        <w:rPr>
          <w:rFonts w:asciiTheme="minorHAnsi" w:hAnsiTheme="minorHAnsi"/>
          <w:sz w:val="22"/>
          <w:szCs w:val="22"/>
          <w:lang w:eastAsia="en-CA"/>
        </w:rPr>
        <w:tab/>
        <w:t xml:space="preserve">Les adhésifs utilisés dans la fabrication doivent être exempts de polluants atmosphériques dangereux (PAD). (Voir </w:t>
      </w:r>
      <w:r w:rsidRPr="003B42F8">
        <w:rPr>
          <w:rFonts w:asciiTheme="minorHAnsi" w:hAnsiTheme="minorHAnsi"/>
          <w:color w:val="333333"/>
          <w:sz w:val="22"/>
          <w:szCs w:val="22"/>
        </w:rPr>
        <w:t xml:space="preserve">Environnement Canada – Annexe 1 de la </w:t>
      </w:r>
      <w:r w:rsidRPr="003B42F8">
        <w:rPr>
          <w:rFonts w:asciiTheme="minorHAnsi" w:hAnsiTheme="minorHAnsi"/>
          <w:i/>
          <w:color w:val="333333"/>
          <w:sz w:val="22"/>
          <w:szCs w:val="22"/>
        </w:rPr>
        <w:t>Loi canadienne sur la protection de l’environnement</w:t>
      </w:r>
      <w:r w:rsidRPr="003B42F8">
        <w:rPr>
          <w:rFonts w:asciiTheme="minorHAnsi" w:hAnsiTheme="minorHAnsi"/>
          <w:color w:val="333333"/>
          <w:sz w:val="22"/>
          <w:szCs w:val="22"/>
        </w:rPr>
        <w:t xml:space="preserve"> (1999) </w:t>
      </w:r>
      <w:r w:rsidRPr="003B42F8">
        <w:rPr>
          <w:rFonts w:asciiTheme="minorHAnsi" w:hAnsiTheme="minorHAnsi"/>
          <w:sz w:val="22"/>
          <w:szCs w:val="22"/>
          <w:lang w:eastAsia="en-CA"/>
        </w:rPr>
        <w:t>(LCPE 1999)</w:t>
      </w:r>
      <w:r>
        <w:rPr>
          <w:rFonts w:asciiTheme="minorHAnsi" w:hAnsiTheme="minorHAnsi"/>
          <w:sz w:val="22"/>
          <w:szCs w:val="22"/>
          <w:lang w:eastAsia="en-CA"/>
        </w:rPr>
        <w:t>.</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1.2</w:t>
      </w:r>
      <w:r w:rsidRPr="003B42F8">
        <w:rPr>
          <w:rFonts w:asciiTheme="minorHAnsi" w:hAnsiTheme="minorHAnsi"/>
          <w:sz w:val="22"/>
          <w:szCs w:val="22"/>
          <w:lang w:eastAsia="en-CA"/>
        </w:rPr>
        <w:tab/>
        <w:t>Les composants métalliques doivent être finis avec un revêtement à faible teneur en composés organiques volatils (COV) ou un revêtement non toxique.</w:t>
      </w:r>
    </w:p>
    <w:p w:rsidR="00E67700" w:rsidRPr="003B42F8" w:rsidRDefault="00E67700" w:rsidP="00E67700">
      <w:pPr>
        <w:ind w:left="567" w:hanging="567"/>
        <w:rPr>
          <w:rFonts w:asciiTheme="minorHAnsi" w:hAnsiTheme="minorHAnsi"/>
          <w:b/>
          <w:bCs/>
          <w:iCs/>
          <w:sz w:val="22"/>
          <w:szCs w:val="22"/>
          <w:lang w:eastAsia="en-CA"/>
        </w:rPr>
      </w:pPr>
      <w:r w:rsidRPr="003B42F8">
        <w:rPr>
          <w:rFonts w:asciiTheme="minorHAnsi" w:hAnsiTheme="minorHAnsi"/>
          <w:sz w:val="22"/>
          <w:szCs w:val="22"/>
          <w:lang w:eastAsia="en-CA"/>
        </w:rPr>
        <w:t>1.3</w:t>
      </w:r>
      <w:r w:rsidRPr="003B42F8">
        <w:rPr>
          <w:rFonts w:asciiTheme="minorHAnsi" w:hAnsiTheme="minorHAnsi"/>
          <w:sz w:val="22"/>
          <w:szCs w:val="22"/>
          <w:lang w:eastAsia="en-CA"/>
        </w:rPr>
        <w:tab/>
        <w:t>Les pièces en acier doivent contenir au moins 25 % de contenu recyclé.</w:t>
      </w:r>
    </w:p>
    <w:p w:rsidR="00E67700" w:rsidRPr="003B42F8" w:rsidRDefault="00E67700" w:rsidP="00E67700">
      <w:pPr>
        <w:ind w:left="567" w:hanging="567"/>
        <w:rPr>
          <w:rFonts w:asciiTheme="minorHAnsi" w:hAnsiTheme="minorHAnsi"/>
          <w:b/>
          <w:bCs/>
          <w:iCs/>
          <w:sz w:val="22"/>
          <w:szCs w:val="22"/>
          <w:lang w:eastAsia="en-CA"/>
        </w:rPr>
      </w:pPr>
      <w:r w:rsidRPr="003B42F8">
        <w:rPr>
          <w:rFonts w:asciiTheme="minorHAnsi" w:hAnsiTheme="minorHAnsi"/>
          <w:bCs/>
          <w:iCs/>
          <w:sz w:val="22"/>
          <w:szCs w:val="22"/>
          <w:lang w:eastAsia="en-CA"/>
        </w:rPr>
        <w:t>1.4</w:t>
      </w:r>
      <w:r w:rsidRPr="003B42F8">
        <w:rPr>
          <w:rFonts w:asciiTheme="minorHAnsi" w:hAnsiTheme="minorHAnsi"/>
          <w:bCs/>
          <w:iCs/>
          <w:sz w:val="22"/>
          <w:szCs w:val="22"/>
          <w:lang w:eastAsia="en-CA"/>
        </w:rPr>
        <w:tab/>
      </w:r>
      <w:r w:rsidRPr="003B42F8">
        <w:rPr>
          <w:rFonts w:asciiTheme="minorHAnsi" w:hAnsiTheme="minorHAnsi"/>
          <w:sz w:val="22"/>
          <w:szCs w:val="22"/>
          <w:lang w:eastAsia="en-CA"/>
        </w:rPr>
        <w:t>Les composants en plastique doivent être recyclables à la fin de leur vie utile.</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1.5</w:t>
      </w:r>
      <w:r w:rsidRPr="003B42F8">
        <w:rPr>
          <w:rFonts w:asciiTheme="minorHAnsi" w:hAnsiTheme="minorHAnsi"/>
          <w:sz w:val="22"/>
          <w:szCs w:val="22"/>
          <w:lang w:eastAsia="en-CA"/>
        </w:rPr>
        <w:tab/>
        <w:t>Les produits en bois composite doivent contenir au moins 60 % de matériaux recyclés.</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1.6</w:t>
      </w:r>
      <w:r w:rsidRPr="003B42F8">
        <w:rPr>
          <w:rFonts w:asciiTheme="minorHAnsi" w:hAnsiTheme="minorHAnsi"/>
          <w:sz w:val="22"/>
          <w:szCs w:val="22"/>
          <w:lang w:eastAsia="en-CA"/>
        </w:rPr>
        <w:tab/>
        <w:t>Les ouvertures dans les produits émettant du formaldéhyde qui entraîneront une concentration dans l'air intérieur de plus de 0,5 mg/m</w:t>
      </w:r>
      <w:r w:rsidRPr="004F2F17">
        <w:rPr>
          <w:rFonts w:asciiTheme="minorHAnsi" w:hAnsiTheme="minorHAnsi"/>
          <w:sz w:val="22"/>
          <w:szCs w:val="22"/>
          <w:vertAlign w:val="superscript"/>
          <w:lang w:eastAsia="en-CA"/>
        </w:rPr>
        <w:t>3</w:t>
      </w:r>
      <w:r w:rsidRPr="003B42F8">
        <w:rPr>
          <w:rFonts w:asciiTheme="minorHAnsi" w:hAnsiTheme="minorHAnsi"/>
          <w:sz w:val="22"/>
          <w:szCs w:val="22"/>
          <w:lang w:eastAsia="en-CA"/>
        </w:rPr>
        <w:t xml:space="preserve"> doivent être bouchées. Il n’est pas nécessaire de les boucher si le produit est homologué </w:t>
      </w:r>
      <w:proofErr w:type="spellStart"/>
      <w:r w:rsidRPr="003B42F8">
        <w:rPr>
          <w:rFonts w:asciiTheme="minorHAnsi" w:hAnsiTheme="minorHAnsi"/>
          <w:sz w:val="22"/>
          <w:szCs w:val="22"/>
          <w:lang w:eastAsia="en-CA"/>
        </w:rPr>
        <w:t>Ecologo</w:t>
      </w:r>
      <w:proofErr w:type="spellEnd"/>
      <w:r w:rsidRPr="003B42F8">
        <w:rPr>
          <w:rFonts w:asciiTheme="minorHAnsi" w:hAnsiTheme="minorHAnsi"/>
          <w:sz w:val="22"/>
          <w:szCs w:val="22"/>
          <w:lang w:eastAsia="en-CA"/>
        </w:rPr>
        <w:t xml:space="preserve">, </w:t>
      </w:r>
      <w:proofErr w:type="spellStart"/>
      <w:r w:rsidRPr="003B42F8">
        <w:rPr>
          <w:rFonts w:asciiTheme="minorHAnsi" w:hAnsiTheme="minorHAnsi"/>
          <w:sz w:val="22"/>
          <w:szCs w:val="22"/>
          <w:lang w:eastAsia="en-CA"/>
        </w:rPr>
        <w:t>Greenguard</w:t>
      </w:r>
      <w:proofErr w:type="spellEnd"/>
      <w:r w:rsidRPr="003B42F8">
        <w:rPr>
          <w:rFonts w:asciiTheme="minorHAnsi" w:hAnsiTheme="minorHAnsi"/>
          <w:sz w:val="22"/>
          <w:szCs w:val="22"/>
          <w:lang w:eastAsia="en-CA"/>
        </w:rPr>
        <w:t>, etc.</w:t>
      </w:r>
    </w:p>
    <w:p w:rsidR="00E67700" w:rsidRPr="003B42F8" w:rsidRDefault="00E67700" w:rsidP="00E67700">
      <w:pPr>
        <w:ind w:left="567" w:hanging="567"/>
        <w:rPr>
          <w:rFonts w:asciiTheme="minorHAnsi" w:hAnsiTheme="minorHAnsi"/>
          <w:b/>
          <w:bCs/>
          <w:iCs/>
          <w:sz w:val="24"/>
          <w:lang w:eastAsia="en-CA"/>
        </w:rPr>
      </w:pPr>
      <w:r w:rsidRPr="003B42F8">
        <w:rPr>
          <w:rFonts w:asciiTheme="minorHAnsi" w:hAnsiTheme="minorHAnsi"/>
          <w:b/>
          <w:bCs/>
          <w:iCs/>
          <w:sz w:val="24"/>
          <w:lang w:eastAsia="en-CA"/>
        </w:rPr>
        <w:t>2.0</w:t>
      </w:r>
      <w:r w:rsidRPr="003B42F8">
        <w:rPr>
          <w:rFonts w:asciiTheme="minorHAnsi" w:hAnsiTheme="minorHAnsi"/>
          <w:bCs/>
          <w:iCs/>
          <w:sz w:val="24"/>
          <w:lang w:eastAsia="en-CA"/>
        </w:rPr>
        <w:tab/>
      </w:r>
      <w:r w:rsidRPr="003B42F8">
        <w:rPr>
          <w:rFonts w:asciiTheme="minorHAnsi" w:hAnsiTheme="minorHAnsi"/>
          <w:b/>
          <w:bCs/>
          <w:iCs/>
          <w:sz w:val="24"/>
          <w:lang w:eastAsia="en-CA"/>
        </w:rPr>
        <w:t>Matériau écologique renouvelable - bois durable</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2.1</w:t>
      </w:r>
      <w:r w:rsidRPr="003B42F8">
        <w:rPr>
          <w:rFonts w:asciiTheme="minorHAnsi" w:hAnsiTheme="minorHAnsi"/>
          <w:sz w:val="22"/>
          <w:szCs w:val="22"/>
          <w:lang w:eastAsia="en-CA"/>
        </w:rPr>
        <w:tab/>
        <w:t xml:space="preserve">Le bois utilisé dans la fabrication des produits offerts doit provenir d'une forêt gérée de façon durable, certifiée par l'Association canadienne de normalisation (CSA), le Forest </w:t>
      </w:r>
      <w:proofErr w:type="spellStart"/>
      <w:r w:rsidRPr="003B42F8">
        <w:rPr>
          <w:rFonts w:asciiTheme="minorHAnsi" w:hAnsiTheme="minorHAnsi"/>
          <w:sz w:val="22"/>
          <w:szCs w:val="22"/>
          <w:lang w:eastAsia="en-CA"/>
        </w:rPr>
        <w:t>Stewardship</w:t>
      </w:r>
      <w:proofErr w:type="spellEnd"/>
      <w:r w:rsidRPr="003B42F8">
        <w:rPr>
          <w:rFonts w:asciiTheme="minorHAnsi" w:hAnsiTheme="minorHAnsi"/>
          <w:sz w:val="22"/>
          <w:szCs w:val="22"/>
          <w:lang w:eastAsia="en-CA"/>
        </w:rPr>
        <w:t xml:space="preserve"> Council (FSC), le Program for the </w:t>
      </w:r>
      <w:proofErr w:type="spellStart"/>
      <w:r w:rsidRPr="003B42F8">
        <w:rPr>
          <w:rFonts w:asciiTheme="minorHAnsi" w:hAnsiTheme="minorHAnsi"/>
          <w:sz w:val="22"/>
          <w:szCs w:val="22"/>
          <w:lang w:eastAsia="en-CA"/>
        </w:rPr>
        <w:t>Endorsement</w:t>
      </w:r>
      <w:proofErr w:type="spellEnd"/>
      <w:r w:rsidRPr="003B42F8">
        <w:rPr>
          <w:rFonts w:asciiTheme="minorHAnsi" w:hAnsiTheme="minorHAnsi"/>
          <w:sz w:val="22"/>
          <w:szCs w:val="22"/>
          <w:lang w:eastAsia="en-CA"/>
        </w:rPr>
        <w:t xml:space="preserve"> of Forest Certification (PEFC) ou la </w:t>
      </w:r>
      <w:proofErr w:type="spellStart"/>
      <w:r w:rsidRPr="003B42F8">
        <w:rPr>
          <w:rFonts w:asciiTheme="minorHAnsi" w:hAnsiTheme="minorHAnsi"/>
          <w:sz w:val="22"/>
          <w:szCs w:val="22"/>
          <w:lang w:eastAsia="en-CA"/>
        </w:rPr>
        <w:t>Sustainable</w:t>
      </w:r>
      <w:proofErr w:type="spellEnd"/>
      <w:r w:rsidRPr="003B42F8">
        <w:rPr>
          <w:rFonts w:asciiTheme="minorHAnsi" w:hAnsiTheme="minorHAnsi"/>
          <w:sz w:val="22"/>
          <w:szCs w:val="22"/>
          <w:lang w:eastAsia="en-CA"/>
        </w:rPr>
        <w:t xml:space="preserve"> </w:t>
      </w:r>
      <w:proofErr w:type="spellStart"/>
      <w:r w:rsidRPr="003B42F8">
        <w:rPr>
          <w:rFonts w:asciiTheme="minorHAnsi" w:hAnsiTheme="minorHAnsi"/>
          <w:sz w:val="22"/>
          <w:szCs w:val="22"/>
          <w:lang w:eastAsia="en-CA"/>
        </w:rPr>
        <w:t>Forestry</w:t>
      </w:r>
      <w:proofErr w:type="spellEnd"/>
      <w:r w:rsidRPr="003B42F8">
        <w:rPr>
          <w:rFonts w:asciiTheme="minorHAnsi" w:hAnsiTheme="minorHAnsi"/>
          <w:sz w:val="22"/>
          <w:szCs w:val="22"/>
          <w:lang w:eastAsia="en-CA"/>
        </w:rPr>
        <w:t xml:space="preserve"> Initiative (SFI).</w:t>
      </w:r>
    </w:p>
    <w:p w:rsidR="00E67700" w:rsidRPr="003B42F8" w:rsidRDefault="00E67700" w:rsidP="00E67700">
      <w:pPr>
        <w:ind w:left="567" w:hanging="567"/>
        <w:rPr>
          <w:rFonts w:asciiTheme="minorHAnsi" w:hAnsiTheme="minorHAnsi"/>
          <w:b/>
          <w:bCs/>
          <w:iCs/>
          <w:sz w:val="24"/>
          <w:lang w:eastAsia="en-CA"/>
        </w:rPr>
      </w:pPr>
      <w:r w:rsidRPr="003B42F8">
        <w:rPr>
          <w:rFonts w:asciiTheme="minorHAnsi" w:hAnsiTheme="minorHAnsi"/>
          <w:b/>
          <w:bCs/>
          <w:iCs/>
          <w:sz w:val="24"/>
          <w:lang w:eastAsia="en-CA"/>
        </w:rPr>
        <w:t xml:space="preserve">3.0 </w:t>
      </w:r>
      <w:r w:rsidRPr="003B42F8">
        <w:rPr>
          <w:rFonts w:asciiTheme="minorHAnsi" w:hAnsiTheme="minorHAnsi"/>
          <w:b/>
          <w:bCs/>
          <w:iCs/>
          <w:sz w:val="24"/>
          <w:lang w:eastAsia="en-CA"/>
        </w:rPr>
        <w:tab/>
        <w:t>Conception du produit</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3.1</w:t>
      </w:r>
      <w:r w:rsidRPr="003B42F8">
        <w:rPr>
          <w:rFonts w:asciiTheme="minorHAnsi" w:hAnsiTheme="minorHAnsi"/>
          <w:sz w:val="22"/>
          <w:szCs w:val="22"/>
          <w:lang w:eastAsia="en-CA"/>
        </w:rPr>
        <w:tab/>
        <w:t>Les pièces du produit sujettes à l'usure ont été conçues pour être remplaçables.</w:t>
      </w:r>
    </w:p>
    <w:p w:rsidR="00E67700" w:rsidRPr="003B42F8" w:rsidRDefault="00E67700" w:rsidP="00E67700">
      <w:pPr>
        <w:ind w:left="567" w:hanging="567"/>
        <w:rPr>
          <w:rFonts w:asciiTheme="minorHAnsi" w:hAnsiTheme="minorHAnsi"/>
          <w:b/>
          <w:sz w:val="24"/>
          <w:lang w:eastAsia="en-CA"/>
        </w:rPr>
      </w:pPr>
      <w:r w:rsidRPr="003B42F8">
        <w:rPr>
          <w:rFonts w:asciiTheme="minorHAnsi" w:hAnsiTheme="minorHAnsi"/>
          <w:b/>
          <w:bCs/>
          <w:iCs/>
          <w:sz w:val="24"/>
          <w:lang w:eastAsia="en-CA"/>
        </w:rPr>
        <w:t>4 .0</w:t>
      </w:r>
      <w:r w:rsidRPr="003B42F8">
        <w:rPr>
          <w:rFonts w:asciiTheme="minorHAnsi" w:hAnsiTheme="minorHAnsi"/>
          <w:b/>
          <w:bCs/>
          <w:iCs/>
          <w:sz w:val="24"/>
          <w:lang w:eastAsia="en-CA"/>
        </w:rPr>
        <w:tab/>
        <w:t>Fabrication</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4.1</w:t>
      </w:r>
      <w:r w:rsidRPr="003B42F8">
        <w:rPr>
          <w:rFonts w:asciiTheme="minorHAnsi" w:hAnsiTheme="minorHAnsi"/>
          <w:sz w:val="22"/>
          <w:szCs w:val="22"/>
          <w:lang w:eastAsia="en-CA"/>
        </w:rPr>
        <w:tab/>
        <w:t>Les déchets du processus de fabrication doivent être réduits au minimum et/ou recyclés.</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4.2</w:t>
      </w:r>
      <w:r w:rsidRPr="003B42F8">
        <w:rPr>
          <w:rFonts w:asciiTheme="minorHAnsi" w:hAnsiTheme="minorHAnsi"/>
          <w:sz w:val="22"/>
          <w:szCs w:val="22"/>
          <w:lang w:eastAsia="en-CA"/>
        </w:rPr>
        <w:tab/>
        <w:t xml:space="preserve">Le fabricant doit avoir les certificats, à titre de preuve, que les produits ne contiennent pas de chlorofluorocarbures (CFC) ni d'éther </w:t>
      </w:r>
      <w:proofErr w:type="spellStart"/>
      <w:r w:rsidRPr="003B42F8">
        <w:rPr>
          <w:rFonts w:asciiTheme="minorHAnsi" w:hAnsiTheme="minorHAnsi"/>
          <w:sz w:val="22"/>
          <w:szCs w:val="22"/>
          <w:lang w:eastAsia="en-CA"/>
        </w:rPr>
        <w:t>diphénylique</w:t>
      </w:r>
      <w:proofErr w:type="spellEnd"/>
      <w:r w:rsidRPr="003B42F8">
        <w:rPr>
          <w:rFonts w:asciiTheme="minorHAnsi" w:hAnsiTheme="minorHAnsi"/>
          <w:sz w:val="22"/>
          <w:szCs w:val="22"/>
          <w:lang w:eastAsia="en-CA"/>
        </w:rPr>
        <w:t xml:space="preserve"> </w:t>
      </w:r>
      <w:proofErr w:type="spellStart"/>
      <w:r w:rsidRPr="003B42F8">
        <w:rPr>
          <w:rFonts w:asciiTheme="minorHAnsi" w:hAnsiTheme="minorHAnsi"/>
          <w:sz w:val="22"/>
          <w:szCs w:val="22"/>
          <w:lang w:eastAsia="en-CA"/>
        </w:rPr>
        <w:t>polybromé</w:t>
      </w:r>
      <w:proofErr w:type="spellEnd"/>
      <w:r w:rsidRPr="003B42F8">
        <w:rPr>
          <w:rFonts w:asciiTheme="minorHAnsi" w:hAnsiTheme="minorHAnsi"/>
          <w:sz w:val="22"/>
          <w:szCs w:val="22"/>
          <w:lang w:eastAsia="en-CA"/>
        </w:rPr>
        <w:t xml:space="preserve"> (EDP).</w:t>
      </w:r>
    </w:p>
    <w:p w:rsidR="00E67700" w:rsidRPr="00E67700"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4.3</w:t>
      </w:r>
      <w:r w:rsidRPr="003B42F8">
        <w:rPr>
          <w:rFonts w:asciiTheme="minorHAnsi" w:hAnsiTheme="minorHAnsi"/>
          <w:sz w:val="22"/>
          <w:szCs w:val="22"/>
          <w:lang w:eastAsia="en-CA"/>
        </w:rPr>
        <w:tab/>
        <w:t>Le fabricant doit avoir en place un système de gestion des matériaux toxiques et dangereux dans ses usines de fabrication.</w:t>
      </w:r>
    </w:p>
    <w:p w:rsidR="00E67700" w:rsidRPr="003B42F8" w:rsidRDefault="00E67700" w:rsidP="00E67700">
      <w:pPr>
        <w:ind w:left="567" w:hanging="567"/>
        <w:rPr>
          <w:rFonts w:asciiTheme="minorHAnsi" w:hAnsiTheme="minorHAnsi"/>
          <w:b/>
          <w:sz w:val="24"/>
          <w:lang w:eastAsia="en-CA"/>
        </w:rPr>
      </w:pPr>
      <w:r w:rsidRPr="003B42F8">
        <w:rPr>
          <w:rFonts w:asciiTheme="minorHAnsi" w:hAnsiTheme="minorHAnsi"/>
          <w:b/>
          <w:bCs/>
          <w:iCs/>
          <w:sz w:val="24"/>
          <w:lang w:eastAsia="en-CA"/>
        </w:rPr>
        <w:t>5.0</w:t>
      </w:r>
      <w:r w:rsidRPr="003B42F8">
        <w:rPr>
          <w:rFonts w:asciiTheme="minorHAnsi" w:hAnsiTheme="minorHAnsi"/>
          <w:b/>
          <w:bCs/>
          <w:iCs/>
          <w:sz w:val="24"/>
          <w:lang w:eastAsia="en-CA"/>
        </w:rPr>
        <w:tab/>
        <w:t>Conditionnement et distribution</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5.1</w:t>
      </w:r>
      <w:r w:rsidRPr="003B42F8">
        <w:rPr>
          <w:rFonts w:asciiTheme="minorHAnsi" w:hAnsiTheme="minorHAnsi"/>
          <w:sz w:val="22"/>
          <w:szCs w:val="22"/>
          <w:lang w:eastAsia="en-CA"/>
        </w:rPr>
        <w:tab/>
        <w:t>Les contenants en carton ondulé utilisés doivent contenir au moins 80 % de fibres de papier recyclées.</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5.2</w:t>
      </w:r>
      <w:r w:rsidRPr="003B42F8">
        <w:rPr>
          <w:rFonts w:asciiTheme="minorHAnsi" w:hAnsiTheme="minorHAnsi"/>
          <w:sz w:val="22"/>
          <w:szCs w:val="22"/>
          <w:lang w:eastAsia="en-CA"/>
        </w:rPr>
        <w:tab/>
        <w:t>Des couvertures doivent être utilisées pour de courtes distances (100 km ou moins) lorsque la taille des commandes le justifie (c.-à-d. suffisante pour remplir un camion).</w:t>
      </w:r>
    </w:p>
    <w:p w:rsidR="00E67700" w:rsidRPr="003B42F8" w:rsidRDefault="00E67700" w:rsidP="00E67700">
      <w:pPr>
        <w:ind w:left="567" w:hanging="567"/>
        <w:rPr>
          <w:rFonts w:asciiTheme="minorHAnsi" w:hAnsiTheme="minorHAnsi"/>
          <w:sz w:val="22"/>
          <w:szCs w:val="22"/>
          <w:lang w:eastAsia="en-CA"/>
        </w:rPr>
      </w:pPr>
      <w:r w:rsidRPr="003B42F8">
        <w:rPr>
          <w:rFonts w:asciiTheme="minorHAnsi" w:hAnsiTheme="minorHAnsi"/>
          <w:sz w:val="22"/>
          <w:szCs w:val="22"/>
          <w:lang w:eastAsia="en-CA"/>
        </w:rPr>
        <w:t>5.3</w:t>
      </w:r>
      <w:r w:rsidRPr="003B42F8">
        <w:rPr>
          <w:rFonts w:asciiTheme="minorHAnsi" w:hAnsiTheme="minorHAnsi"/>
          <w:sz w:val="22"/>
          <w:szCs w:val="22"/>
          <w:lang w:eastAsia="en-CA"/>
        </w:rPr>
        <w:tab/>
        <w:t>Le fournisseur doit respecter au moins une des exigences suivantes :</w:t>
      </w:r>
    </w:p>
    <w:p w:rsidR="00E67700" w:rsidRPr="003B42F8" w:rsidRDefault="00E67700" w:rsidP="00E67700">
      <w:pPr>
        <w:tabs>
          <w:tab w:val="left" w:pos="1440"/>
        </w:tabs>
        <w:ind w:left="1440" w:hanging="900"/>
        <w:rPr>
          <w:rFonts w:asciiTheme="minorHAnsi" w:hAnsiTheme="minorHAnsi"/>
          <w:sz w:val="22"/>
          <w:szCs w:val="22"/>
          <w:lang w:eastAsia="en-CA"/>
        </w:rPr>
      </w:pPr>
      <w:r w:rsidRPr="003B42F8">
        <w:rPr>
          <w:rFonts w:asciiTheme="minorHAnsi" w:hAnsiTheme="minorHAnsi"/>
          <w:sz w:val="22"/>
          <w:szCs w:val="22"/>
          <w:lang w:eastAsia="en-CA"/>
        </w:rPr>
        <w:lastRenderedPageBreak/>
        <w:t>5.3.1</w:t>
      </w:r>
      <w:r w:rsidRPr="003B42F8">
        <w:rPr>
          <w:rFonts w:asciiTheme="minorHAnsi" w:hAnsiTheme="minorHAnsi"/>
          <w:sz w:val="22"/>
          <w:szCs w:val="22"/>
          <w:lang w:eastAsia="en-CA"/>
        </w:rPr>
        <w:tab/>
      </w:r>
      <w:proofErr w:type="gramStart"/>
      <w:r>
        <w:rPr>
          <w:rFonts w:asciiTheme="minorHAnsi" w:hAnsiTheme="minorHAnsi"/>
          <w:sz w:val="22"/>
          <w:szCs w:val="22"/>
          <w:lang w:eastAsia="en-CA"/>
        </w:rPr>
        <w:t>l</w:t>
      </w:r>
      <w:r w:rsidRPr="003B42F8">
        <w:rPr>
          <w:rFonts w:asciiTheme="minorHAnsi" w:hAnsiTheme="minorHAnsi"/>
          <w:sz w:val="22"/>
          <w:szCs w:val="22"/>
          <w:lang w:eastAsia="en-CA"/>
        </w:rPr>
        <w:t>es</w:t>
      </w:r>
      <w:proofErr w:type="gramEnd"/>
      <w:r w:rsidRPr="003B42F8">
        <w:rPr>
          <w:rFonts w:asciiTheme="minorHAnsi" w:hAnsiTheme="minorHAnsi"/>
          <w:sz w:val="22"/>
          <w:szCs w:val="22"/>
          <w:lang w:eastAsia="en-CA"/>
        </w:rPr>
        <w:t xml:space="preserve"> produits doivent être expédiés en vrac (c.-à-d. être désassemblés à la source, emballés plus densément pour l'expédition et réassemblés sur place);</w:t>
      </w:r>
    </w:p>
    <w:p w:rsidR="00E67700" w:rsidRPr="003B42F8" w:rsidRDefault="00E67700" w:rsidP="00E67700">
      <w:pPr>
        <w:tabs>
          <w:tab w:val="left" w:pos="1440"/>
        </w:tabs>
        <w:ind w:left="1440" w:hanging="900"/>
        <w:rPr>
          <w:rFonts w:asciiTheme="minorHAnsi" w:hAnsiTheme="minorHAnsi"/>
          <w:sz w:val="22"/>
          <w:szCs w:val="22"/>
          <w:lang w:eastAsia="en-CA"/>
        </w:rPr>
      </w:pPr>
      <w:r w:rsidRPr="003B42F8">
        <w:rPr>
          <w:rFonts w:asciiTheme="minorHAnsi" w:hAnsiTheme="minorHAnsi"/>
          <w:sz w:val="22"/>
          <w:szCs w:val="22"/>
          <w:lang w:eastAsia="en-CA"/>
        </w:rPr>
        <w:t>5.3.2</w:t>
      </w:r>
      <w:r w:rsidRPr="003B42F8">
        <w:rPr>
          <w:rFonts w:asciiTheme="minorHAnsi" w:hAnsiTheme="minorHAnsi"/>
          <w:sz w:val="22"/>
          <w:szCs w:val="22"/>
          <w:lang w:eastAsia="en-CA"/>
        </w:rPr>
        <w:tab/>
      </w:r>
      <w:proofErr w:type="gramStart"/>
      <w:r w:rsidRPr="003B42F8">
        <w:rPr>
          <w:rFonts w:asciiTheme="minorHAnsi" w:hAnsiTheme="minorHAnsi"/>
          <w:sz w:val="22"/>
          <w:szCs w:val="22"/>
          <w:lang w:eastAsia="en-CA"/>
        </w:rPr>
        <w:t>le</w:t>
      </w:r>
      <w:proofErr w:type="gramEnd"/>
      <w:r w:rsidRPr="003B42F8">
        <w:rPr>
          <w:rFonts w:asciiTheme="minorHAnsi" w:hAnsiTheme="minorHAnsi"/>
          <w:sz w:val="22"/>
          <w:szCs w:val="22"/>
          <w:lang w:eastAsia="en-CA"/>
        </w:rPr>
        <w:t xml:space="preserve"> conditionnement est recyclable et/ou biodégradable;</w:t>
      </w:r>
    </w:p>
    <w:p w:rsidR="00E67700" w:rsidRPr="003B42F8" w:rsidRDefault="00E67700" w:rsidP="00E67700">
      <w:pPr>
        <w:tabs>
          <w:tab w:val="left" w:pos="1440"/>
        </w:tabs>
        <w:ind w:left="1440" w:hanging="900"/>
        <w:rPr>
          <w:rFonts w:asciiTheme="minorHAnsi" w:hAnsiTheme="minorHAnsi"/>
          <w:sz w:val="22"/>
          <w:szCs w:val="22"/>
          <w:lang w:eastAsia="en-CA"/>
        </w:rPr>
      </w:pPr>
      <w:r w:rsidRPr="003B42F8">
        <w:rPr>
          <w:rFonts w:asciiTheme="minorHAnsi" w:hAnsiTheme="minorHAnsi"/>
          <w:sz w:val="22"/>
          <w:szCs w:val="22"/>
          <w:lang w:eastAsia="en-CA"/>
        </w:rPr>
        <w:t>5.3.3</w:t>
      </w:r>
      <w:r w:rsidRPr="003B42F8">
        <w:rPr>
          <w:rFonts w:asciiTheme="minorHAnsi" w:hAnsiTheme="minorHAnsi"/>
          <w:sz w:val="22"/>
          <w:szCs w:val="22"/>
          <w:lang w:eastAsia="en-CA"/>
        </w:rPr>
        <w:tab/>
      </w:r>
      <w:proofErr w:type="gramStart"/>
      <w:r w:rsidRPr="003B42F8">
        <w:rPr>
          <w:rFonts w:asciiTheme="minorHAnsi" w:hAnsiTheme="minorHAnsi"/>
          <w:sz w:val="22"/>
          <w:szCs w:val="22"/>
          <w:lang w:eastAsia="en-CA"/>
        </w:rPr>
        <w:t>le</w:t>
      </w:r>
      <w:proofErr w:type="gramEnd"/>
      <w:r w:rsidRPr="003B42F8">
        <w:rPr>
          <w:rFonts w:asciiTheme="minorHAnsi" w:hAnsiTheme="minorHAnsi"/>
          <w:sz w:val="22"/>
          <w:szCs w:val="22"/>
          <w:lang w:eastAsia="en-CA"/>
        </w:rPr>
        <w:t xml:space="preserve"> conditionnement peut être retourné au f</w:t>
      </w:r>
      <w:r>
        <w:rPr>
          <w:rFonts w:asciiTheme="minorHAnsi" w:hAnsiTheme="minorHAnsi"/>
          <w:sz w:val="22"/>
          <w:szCs w:val="22"/>
          <w:lang w:eastAsia="en-CA"/>
        </w:rPr>
        <w:t>ournisseur et/ou à l’expéditeur</w:t>
      </w:r>
      <w:r w:rsidRPr="003B42F8">
        <w:rPr>
          <w:rFonts w:asciiTheme="minorHAnsi" w:hAnsiTheme="minorHAnsi"/>
          <w:sz w:val="22"/>
          <w:szCs w:val="22"/>
          <w:lang w:eastAsia="en-CA"/>
        </w:rPr>
        <w:t>;</w:t>
      </w:r>
    </w:p>
    <w:p w:rsidR="00E67700" w:rsidRPr="00E67700" w:rsidRDefault="00E67700" w:rsidP="00E67700">
      <w:pPr>
        <w:tabs>
          <w:tab w:val="left" w:pos="1440"/>
        </w:tabs>
        <w:ind w:left="1440" w:hanging="900"/>
        <w:rPr>
          <w:rFonts w:asciiTheme="minorHAnsi" w:hAnsiTheme="minorHAnsi"/>
          <w:sz w:val="22"/>
          <w:szCs w:val="22"/>
          <w:lang w:eastAsia="en-CA"/>
        </w:rPr>
      </w:pPr>
      <w:r w:rsidRPr="003B42F8">
        <w:rPr>
          <w:rFonts w:asciiTheme="minorHAnsi" w:hAnsiTheme="minorHAnsi"/>
          <w:sz w:val="22"/>
          <w:szCs w:val="22"/>
          <w:lang w:eastAsia="en-CA"/>
        </w:rPr>
        <w:t>5.3.4</w:t>
      </w:r>
      <w:r w:rsidRPr="003B42F8">
        <w:rPr>
          <w:rFonts w:asciiTheme="minorHAnsi" w:hAnsiTheme="minorHAnsi"/>
          <w:sz w:val="22"/>
          <w:szCs w:val="22"/>
          <w:lang w:eastAsia="en-CA"/>
        </w:rPr>
        <w:tab/>
      </w:r>
      <w:proofErr w:type="gramStart"/>
      <w:r w:rsidRPr="003B42F8">
        <w:rPr>
          <w:rFonts w:asciiTheme="minorHAnsi" w:hAnsiTheme="minorHAnsi"/>
          <w:sz w:val="22"/>
          <w:szCs w:val="22"/>
          <w:lang w:eastAsia="en-CA"/>
        </w:rPr>
        <w:t>le</w:t>
      </w:r>
      <w:proofErr w:type="gramEnd"/>
      <w:r w:rsidRPr="003B42F8">
        <w:rPr>
          <w:rFonts w:asciiTheme="minorHAnsi" w:hAnsiTheme="minorHAnsi"/>
          <w:sz w:val="22"/>
          <w:szCs w:val="22"/>
          <w:lang w:eastAsia="en-CA"/>
        </w:rPr>
        <w:t xml:space="preserve"> conditionnement est réutilisable.</w:t>
      </w:r>
    </w:p>
    <w:p w:rsidR="00E67700" w:rsidRPr="003B42F8" w:rsidRDefault="00E67700" w:rsidP="00E67700">
      <w:pPr>
        <w:ind w:left="567" w:hanging="567"/>
        <w:rPr>
          <w:rFonts w:asciiTheme="minorHAnsi" w:hAnsiTheme="minorHAnsi"/>
          <w:b/>
          <w:sz w:val="24"/>
          <w:lang w:eastAsia="en-CA"/>
        </w:rPr>
      </w:pPr>
      <w:r w:rsidRPr="003B42F8">
        <w:rPr>
          <w:rFonts w:asciiTheme="minorHAnsi" w:hAnsiTheme="minorHAnsi"/>
          <w:b/>
          <w:bCs/>
          <w:iCs/>
          <w:sz w:val="24"/>
          <w:lang w:eastAsia="en-CA"/>
        </w:rPr>
        <w:t>6 .0</w:t>
      </w:r>
      <w:r w:rsidRPr="003B42F8">
        <w:rPr>
          <w:rFonts w:asciiTheme="minorHAnsi" w:hAnsiTheme="minorHAnsi"/>
          <w:b/>
          <w:bCs/>
          <w:iCs/>
          <w:sz w:val="24"/>
          <w:lang w:eastAsia="en-CA"/>
        </w:rPr>
        <w:tab/>
        <w:t>Plan de gestion des produits chimiques (PGPC)</w:t>
      </w:r>
    </w:p>
    <w:p w:rsidR="00E67700" w:rsidRPr="003B42F8" w:rsidRDefault="00E67700" w:rsidP="00E67700">
      <w:pPr>
        <w:tabs>
          <w:tab w:val="left" w:pos="567"/>
        </w:tabs>
        <w:ind w:left="567" w:hanging="567"/>
        <w:rPr>
          <w:rFonts w:asciiTheme="minorHAnsi" w:hAnsiTheme="minorHAnsi"/>
          <w:sz w:val="22"/>
          <w:szCs w:val="22"/>
          <w:lang w:eastAsia="en-CA"/>
        </w:rPr>
      </w:pPr>
      <w:r w:rsidRPr="003B42F8">
        <w:rPr>
          <w:rFonts w:asciiTheme="minorHAnsi" w:hAnsiTheme="minorHAnsi"/>
          <w:sz w:val="22"/>
          <w:szCs w:val="22"/>
          <w:lang w:eastAsia="en-CA"/>
        </w:rPr>
        <w:t xml:space="preserve">6.1 </w:t>
      </w:r>
      <w:r w:rsidRPr="003B42F8">
        <w:rPr>
          <w:rFonts w:asciiTheme="minorHAnsi" w:hAnsiTheme="minorHAnsi"/>
          <w:sz w:val="22"/>
          <w:szCs w:val="22"/>
          <w:lang w:eastAsia="en-CA"/>
        </w:rPr>
        <w:tab/>
        <w:t>Le f</w:t>
      </w:r>
      <w:r>
        <w:rPr>
          <w:rFonts w:asciiTheme="minorHAnsi" w:hAnsiTheme="minorHAnsi"/>
          <w:sz w:val="22"/>
          <w:szCs w:val="22"/>
          <w:lang w:eastAsia="en-CA"/>
        </w:rPr>
        <w:t xml:space="preserve">abricant </w:t>
      </w:r>
      <w:r w:rsidRPr="003B42F8">
        <w:rPr>
          <w:rFonts w:asciiTheme="minorHAnsi" w:hAnsiTheme="minorHAnsi"/>
          <w:sz w:val="22"/>
          <w:szCs w:val="22"/>
          <w:lang w:eastAsia="en-CA"/>
        </w:rPr>
        <w:t>doit mettre en œuvre un plan de gestion des produits chimiques qui couvre au moins un des éléments suivants :</w:t>
      </w:r>
    </w:p>
    <w:p w:rsidR="00E67700" w:rsidRPr="003B42F8" w:rsidRDefault="00E67700" w:rsidP="00E67700">
      <w:pPr>
        <w:tabs>
          <w:tab w:val="left" w:pos="540"/>
        </w:tabs>
        <w:ind w:left="1440" w:hanging="1440"/>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6.1.1</w:t>
      </w:r>
      <w:r w:rsidRPr="003B42F8">
        <w:rPr>
          <w:rFonts w:asciiTheme="minorHAnsi" w:hAnsiTheme="minorHAnsi"/>
          <w:sz w:val="22"/>
          <w:szCs w:val="22"/>
          <w:lang w:eastAsia="en-CA"/>
        </w:rPr>
        <w:tab/>
      </w:r>
      <w:proofErr w:type="gramStart"/>
      <w:r w:rsidRPr="003B42F8">
        <w:rPr>
          <w:rFonts w:asciiTheme="minorHAnsi" w:hAnsiTheme="minorHAnsi"/>
          <w:sz w:val="22"/>
          <w:szCs w:val="22"/>
          <w:lang w:eastAsia="en-CA"/>
        </w:rPr>
        <w:t>démontrer</w:t>
      </w:r>
      <w:proofErr w:type="gramEnd"/>
      <w:r w:rsidRPr="003B42F8">
        <w:rPr>
          <w:rFonts w:asciiTheme="minorHAnsi" w:hAnsiTheme="minorHAnsi"/>
          <w:sz w:val="22"/>
          <w:szCs w:val="22"/>
          <w:lang w:eastAsia="en-CA"/>
        </w:rPr>
        <w:t xml:space="preserve"> qu'il a mis en place un système de gestion des substances (matières) dangereuses à son usine de fabrication;</w:t>
      </w:r>
    </w:p>
    <w:p w:rsidR="00E67700" w:rsidRPr="003B42F8" w:rsidRDefault="00E67700" w:rsidP="00E67700">
      <w:pPr>
        <w:tabs>
          <w:tab w:val="left" w:pos="540"/>
        </w:tabs>
        <w:ind w:left="1440" w:hanging="1440"/>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6.1.2</w:t>
      </w:r>
      <w:r w:rsidRPr="003B42F8">
        <w:rPr>
          <w:rFonts w:asciiTheme="minorHAnsi" w:hAnsiTheme="minorHAnsi"/>
          <w:sz w:val="22"/>
          <w:szCs w:val="22"/>
          <w:lang w:eastAsia="en-CA"/>
        </w:rPr>
        <w:tab/>
        <w:t>avoir mis en place un système d'achat, d'utilisation, d'entreposage, de transport et d'élimination des produits chimiques;</w:t>
      </w:r>
    </w:p>
    <w:p w:rsidR="00E67700" w:rsidRPr="003B42F8" w:rsidRDefault="00E67700" w:rsidP="00E67700">
      <w:pPr>
        <w:tabs>
          <w:tab w:val="left" w:pos="540"/>
        </w:tabs>
        <w:ind w:left="1440" w:hanging="1440"/>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6.1.</w:t>
      </w:r>
      <w:r>
        <w:rPr>
          <w:rFonts w:asciiTheme="minorHAnsi" w:hAnsiTheme="minorHAnsi"/>
          <w:sz w:val="22"/>
          <w:szCs w:val="22"/>
          <w:lang w:eastAsia="en-CA"/>
        </w:rPr>
        <w:t>3</w:t>
      </w:r>
      <w:r w:rsidRPr="003B42F8">
        <w:rPr>
          <w:rFonts w:asciiTheme="minorHAnsi" w:hAnsiTheme="minorHAnsi"/>
          <w:sz w:val="22"/>
          <w:szCs w:val="22"/>
          <w:lang w:eastAsia="en-CA"/>
        </w:rPr>
        <w:t xml:space="preserve"> </w:t>
      </w:r>
      <w:r w:rsidRPr="003B42F8">
        <w:rPr>
          <w:rFonts w:asciiTheme="minorHAnsi" w:hAnsiTheme="minorHAnsi"/>
          <w:sz w:val="22"/>
          <w:szCs w:val="22"/>
          <w:lang w:eastAsia="en-CA"/>
        </w:rPr>
        <w:tab/>
        <w:t>adopter un plan de reconnaissance des situations dangereuses associées aux produits chimiques;</w:t>
      </w:r>
    </w:p>
    <w:p w:rsidR="00E67700" w:rsidRPr="00E67700" w:rsidRDefault="00E67700" w:rsidP="00E67700">
      <w:pPr>
        <w:tabs>
          <w:tab w:val="left" w:pos="567"/>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6.1.</w:t>
      </w:r>
      <w:r>
        <w:rPr>
          <w:rFonts w:asciiTheme="minorHAnsi" w:hAnsiTheme="minorHAnsi"/>
          <w:sz w:val="22"/>
          <w:szCs w:val="22"/>
          <w:lang w:eastAsia="en-CA"/>
        </w:rPr>
        <w:t>4</w:t>
      </w:r>
      <w:r w:rsidRPr="003B42F8">
        <w:rPr>
          <w:rFonts w:asciiTheme="minorHAnsi" w:hAnsiTheme="minorHAnsi"/>
          <w:sz w:val="22"/>
          <w:szCs w:val="22"/>
          <w:lang w:eastAsia="en-CA"/>
        </w:rPr>
        <w:t xml:space="preserve"> </w:t>
      </w:r>
      <w:r w:rsidRPr="003B42F8">
        <w:rPr>
          <w:rFonts w:asciiTheme="minorHAnsi" w:hAnsiTheme="minorHAnsi"/>
          <w:sz w:val="22"/>
          <w:szCs w:val="22"/>
          <w:lang w:eastAsia="en-CA"/>
        </w:rPr>
        <w:tab/>
        <w:t>avoir mis en place un plan d'intervention d'urgence documenté.</w:t>
      </w:r>
    </w:p>
    <w:p w:rsidR="00E67700" w:rsidRPr="000F29EA" w:rsidRDefault="00E67700" w:rsidP="00E67700">
      <w:pPr>
        <w:ind w:left="567" w:hanging="567"/>
        <w:rPr>
          <w:rFonts w:asciiTheme="minorHAnsi" w:hAnsiTheme="minorHAnsi"/>
          <w:b/>
          <w:bCs/>
          <w:iCs/>
          <w:sz w:val="24"/>
          <w:lang w:val="en-CA" w:eastAsia="en-CA"/>
        </w:rPr>
      </w:pPr>
      <w:r w:rsidRPr="000F29EA">
        <w:rPr>
          <w:rFonts w:asciiTheme="minorHAnsi" w:hAnsiTheme="minorHAnsi"/>
          <w:b/>
          <w:bCs/>
          <w:iCs/>
          <w:sz w:val="24"/>
          <w:lang w:val="en-CA" w:eastAsia="en-CA"/>
        </w:rPr>
        <w:t xml:space="preserve">7.0 </w:t>
      </w:r>
      <w:r w:rsidRPr="000F29EA">
        <w:rPr>
          <w:rFonts w:asciiTheme="minorHAnsi" w:hAnsiTheme="minorHAnsi"/>
          <w:b/>
          <w:bCs/>
          <w:iCs/>
          <w:sz w:val="24"/>
          <w:lang w:val="en-CA" w:eastAsia="en-CA"/>
        </w:rPr>
        <w:tab/>
        <w:t>Leadership in Energy and Environmental Design (LEED) – Canada CI</w:t>
      </w:r>
    </w:p>
    <w:p w:rsidR="00E67700" w:rsidRPr="003B42F8" w:rsidRDefault="00E67700" w:rsidP="00E67700">
      <w:pPr>
        <w:ind w:left="567"/>
        <w:rPr>
          <w:rFonts w:asciiTheme="minorHAnsi" w:hAnsiTheme="minorHAnsi"/>
          <w:sz w:val="22"/>
          <w:szCs w:val="22"/>
          <w:lang w:eastAsia="en-CA"/>
        </w:rPr>
      </w:pPr>
      <w:r w:rsidRPr="003B42F8">
        <w:rPr>
          <w:rFonts w:asciiTheme="minorHAnsi" w:hAnsiTheme="minorHAnsi"/>
          <w:sz w:val="22"/>
          <w:szCs w:val="22"/>
          <w:lang w:eastAsia="en-CA"/>
        </w:rPr>
        <w:t xml:space="preserve">Les produits </w:t>
      </w:r>
      <w:r>
        <w:rPr>
          <w:rFonts w:asciiTheme="minorHAnsi" w:hAnsiTheme="minorHAnsi"/>
          <w:sz w:val="22"/>
          <w:szCs w:val="22"/>
          <w:lang w:eastAsia="en-CA"/>
        </w:rPr>
        <w:t xml:space="preserve">offerts </w:t>
      </w:r>
      <w:r w:rsidRPr="003B42F8">
        <w:rPr>
          <w:rFonts w:asciiTheme="minorHAnsi" w:hAnsiTheme="minorHAnsi"/>
          <w:sz w:val="22"/>
          <w:szCs w:val="22"/>
          <w:lang w:eastAsia="en-CA"/>
        </w:rPr>
        <w:t>doivent aider à obtenir des points pour des crédits LEED – Canada CI (aménagement intérieur d'immeubles commerciaux), dans les catégories suivantes :</w:t>
      </w:r>
    </w:p>
    <w:p w:rsidR="00E67700" w:rsidRPr="003B42F8" w:rsidRDefault="00E67700" w:rsidP="00E67700">
      <w:pPr>
        <w:pStyle w:val="ModlesEn-tte3"/>
        <w:rPr>
          <w:lang w:eastAsia="en-CA"/>
        </w:rPr>
      </w:pPr>
      <w:r w:rsidRPr="003B42F8">
        <w:rPr>
          <w:lang w:eastAsia="en-CA"/>
        </w:rPr>
        <w:t>7.1</w:t>
      </w:r>
      <w:r w:rsidRPr="003B42F8">
        <w:rPr>
          <w:lang w:eastAsia="en-CA"/>
        </w:rPr>
        <w:tab/>
        <w:t>Énergie et atmosphère</w:t>
      </w:r>
    </w:p>
    <w:p w:rsidR="00E67700" w:rsidRPr="003B42F8" w:rsidRDefault="00E67700" w:rsidP="00E67700">
      <w:pPr>
        <w:tabs>
          <w:tab w:val="left" w:pos="1560"/>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Crédit 1.1</w:t>
      </w:r>
      <w:r>
        <w:rPr>
          <w:rFonts w:asciiTheme="minorHAnsi" w:hAnsiTheme="minorHAnsi"/>
          <w:sz w:val="22"/>
          <w:szCs w:val="22"/>
          <w:lang w:eastAsia="en-CA"/>
        </w:rPr>
        <w:tab/>
      </w:r>
      <w:r w:rsidRPr="003B42F8">
        <w:rPr>
          <w:rFonts w:asciiTheme="minorHAnsi" w:hAnsiTheme="minorHAnsi"/>
          <w:sz w:val="22"/>
          <w:szCs w:val="22"/>
          <w:lang w:eastAsia="en-CA"/>
        </w:rPr>
        <w:t>Optimisation du rendement énergétique, puissance de l’éclairage</w:t>
      </w:r>
    </w:p>
    <w:p w:rsidR="00E67700" w:rsidRPr="003B42F8" w:rsidRDefault="00E67700" w:rsidP="00E67700">
      <w:pPr>
        <w:tabs>
          <w:tab w:val="left" w:pos="1560"/>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Crédit 1.2</w:t>
      </w:r>
      <w:r>
        <w:rPr>
          <w:rFonts w:asciiTheme="minorHAnsi" w:hAnsiTheme="minorHAnsi"/>
          <w:sz w:val="22"/>
          <w:szCs w:val="22"/>
          <w:lang w:eastAsia="en-CA"/>
        </w:rPr>
        <w:tab/>
      </w:r>
      <w:r w:rsidRPr="003B42F8">
        <w:rPr>
          <w:rFonts w:asciiTheme="minorHAnsi" w:hAnsiTheme="minorHAnsi"/>
          <w:sz w:val="22"/>
          <w:szCs w:val="22"/>
          <w:lang w:eastAsia="en-CA"/>
        </w:rPr>
        <w:t>Optimisation du rendement énergétique, contrôle de l’éclairage</w:t>
      </w:r>
    </w:p>
    <w:p w:rsidR="00E67700" w:rsidRPr="003B42F8" w:rsidRDefault="00E67700" w:rsidP="00E67700">
      <w:pPr>
        <w:pStyle w:val="ModlesEn-tte3"/>
        <w:rPr>
          <w:lang w:eastAsia="en-CA"/>
        </w:rPr>
      </w:pPr>
      <w:r w:rsidRPr="003B42F8">
        <w:rPr>
          <w:lang w:eastAsia="en-CA"/>
        </w:rPr>
        <w:t>7.2</w:t>
      </w:r>
      <w:r w:rsidRPr="003B42F8">
        <w:rPr>
          <w:lang w:eastAsia="en-CA"/>
        </w:rPr>
        <w:tab/>
        <w:t>Matériaux et ressources</w:t>
      </w:r>
    </w:p>
    <w:p w:rsidR="00E67700" w:rsidRPr="003B42F8" w:rsidRDefault="00E67700" w:rsidP="00E67700">
      <w:pPr>
        <w:tabs>
          <w:tab w:val="left" w:pos="1560"/>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Crédit 4.1</w:t>
      </w:r>
      <w:r>
        <w:rPr>
          <w:rFonts w:asciiTheme="minorHAnsi" w:hAnsiTheme="minorHAnsi"/>
          <w:sz w:val="22"/>
          <w:szCs w:val="22"/>
          <w:lang w:eastAsia="en-CA"/>
        </w:rPr>
        <w:tab/>
      </w:r>
      <w:r w:rsidRPr="003B42F8">
        <w:rPr>
          <w:rFonts w:asciiTheme="minorHAnsi" w:hAnsiTheme="minorHAnsi"/>
          <w:sz w:val="22"/>
          <w:szCs w:val="22"/>
          <w:lang w:eastAsia="en-CA"/>
        </w:rPr>
        <w:t>Contenu recyclé, 10 %</w:t>
      </w:r>
    </w:p>
    <w:p w:rsidR="00E67700" w:rsidRPr="003B42F8" w:rsidRDefault="00E67700" w:rsidP="00E67700">
      <w:pPr>
        <w:tabs>
          <w:tab w:val="left" w:pos="1560"/>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Crédit 4.2</w:t>
      </w:r>
      <w:r>
        <w:rPr>
          <w:rFonts w:asciiTheme="minorHAnsi" w:hAnsiTheme="minorHAnsi"/>
          <w:sz w:val="22"/>
          <w:szCs w:val="22"/>
          <w:lang w:eastAsia="en-CA"/>
        </w:rPr>
        <w:tab/>
      </w:r>
      <w:r w:rsidRPr="003B42F8">
        <w:rPr>
          <w:rFonts w:asciiTheme="minorHAnsi" w:hAnsiTheme="minorHAnsi"/>
          <w:sz w:val="22"/>
          <w:szCs w:val="22"/>
          <w:lang w:eastAsia="en-CA"/>
        </w:rPr>
        <w:t>Contenu recyclé, 20 %</w:t>
      </w:r>
    </w:p>
    <w:p w:rsidR="00E67700" w:rsidRPr="003B42F8" w:rsidRDefault="00E67700" w:rsidP="00E67700">
      <w:pPr>
        <w:tabs>
          <w:tab w:val="left" w:pos="1560"/>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Crédit 6</w:t>
      </w:r>
      <w:r>
        <w:rPr>
          <w:rFonts w:asciiTheme="minorHAnsi" w:hAnsiTheme="minorHAnsi"/>
          <w:sz w:val="22"/>
          <w:szCs w:val="22"/>
          <w:lang w:eastAsia="en-CA"/>
        </w:rPr>
        <w:tab/>
      </w:r>
      <w:r w:rsidRPr="003B42F8">
        <w:rPr>
          <w:rFonts w:asciiTheme="minorHAnsi" w:hAnsiTheme="minorHAnsi"/>
          <w:sz w:val="22"/>
          <w:szCs w:val="22"/>
          <w:lang w:eastAsia="en-CA"/>
        </w:rPr>
        <w:t>Matériaux rapidement renouvelables</w:t>
      </w:r>
    </w:p>
    <w:p w:rsidR="00E67700" w:rsidRPr="003B42F8" w:rsidRDefault="00E67700" w:rsidP="00E67700">
      <w:pPr>
        <w:tabs>
          <w:tab w:val="left" w:pos="1560"/>
        </w:tabs>
        <w:ind w:left="567" w:hanging="567"/>
        <w:rPr>
          <w:rFonts w:asciiTheme="minorHAnsi" w:hAnsiTheme="minorHAnsi"/>
          <w:sz w:val="22"/>
          <w:szCs w:val="22"/>
          <w:lang w:eastAsia="en-CA"/>
        </w:rPr>
      </w:pPr>
      <w:r>
        <w:rPr>
          <w:rFonts w:asciiTheme="minorHAnsi" w:hAnsiTheme="minorHAnsi"/>
          <w:sz w:val="22"/>
          <w:szCs w:val="22"/>
          <w:lang w:eastAsia="en-CA"/>
        </w:rPr>
        <w:tab/>
      </w:r>
      <w:r w:rsidRPr="003B42F8">
        <w:rPr>
          <w:rFonts w:asciiTheme="minorHAnsi" w:hAnsiTheme="minorHAnsi"/>
          <w:sz w:val="22"/>
          <w:szCs w:val="22"/>
          <w:lang w:eastAsia="en-CA"/>
        </w:rPr>
        <w:t>Crédit 7</w:t>
      </w:r>
      <w:r>
        <w:rPr>
          <w:rFonts w:asciiTheme="minorHAnsi" w:hAnsiTheme="minorHAnsi"/>
          <w:sz w:val="22"/>
          <w:szCs w:val="22"/>
          <w:lang w:eastAsia="en-CA"/>
        </w:rPr>
        <w:tab/>
      </w:r>
      <w:r w:rsidRPr="003B42F8">
        <w:rPr>
          <w:rFonts w:asciiTheme="minorHAnsi" w:hAnsiTheme="minorHAnsi"/>
          <w:sz w:val="22"/>
          <w:szCs w:val="22"/>
          <w:lang w:eastAsia="en-CA"/>
        </w:rPr>
        <w:t>Bois certifié</w:t>
      </w:r>
    </w:p>
    <w:p w:rsidR="00E67700" w:rsidRPr="003B42F8" w:rsidRDefault="00E67700" w:rsidP="00E67700">
      <w:pPr>
        <w:pStyle w:val="ModlesEn-tte3"/>
        <w:rPr>
          <w:lang w:eastAsia="en-CA"/>
        </w:rPr>
      </w:pPr>
      <w:r w:rsidRPr="003B42F8">
        <w:rPr>
          <w:lang w:eastAsia="en-CA"/>
        </w:rPr>
        <w:t>7.3</w:t>
      </w:r>
      <w:r w:rsidRPr="003B42F8">
        <w:rPr>
          <w:lang w:eastAsia="en-CA"/>
        </w:rPr>
        <w:tab/>
        <w:t>Qualité de l'environnement intérieur</w:t>
      </w:r>
    </w:p>
    <w:p w:rsidR="00E67700" w:rsidRPr="003B42F8" w:rsidRDefault="00E67700" w:rsidP="00E67700">
      <w:pPr>
        <w:tabs>
          <w:tab w:val="left" w:pos="1560"/>
        </w:tabs>
        <w:ind w:left="567"/>
        <w:rPr>
          <w:rFonts w:asciiTheme="minorHAnsi" w:hAnsiTheme="minorHAnsi"/>
          <w:sz w:val="22"/>
          <w:szCs w:val="22"/>
          <w:lang w:eastAsia="en-CA"/>
        </w:rPr>
      </w:pPr>
      <w:r w:rsidRPr="003B42F8">
        <w:rPr>
          <w:rFonts w:asciiTheme="minorHAnsi" w:hAnsiTheme="minorHAnsi"/>
          <w:sz w:val="22"/>
          <w:szCs w:val="22"/>
          <w:lang w:eastAsia="en-CA"/>
        </w:rPr>
        <w:t>Crédit 4.1  Matériaux à faibles émissions, adhésifs et produits d'étanchéité</w:t>
      </w:r>
    </w:p>
    <w:p w:rsidR="00E67700" w:rsidRPr="003B42F8" w:rsidRDefault="00E67700" w:rsidP="00E67700">
      <w:pPr>
        <w:tabs>
          <w:tab w:val="left" w:pos="1560"/>
        </w:tabs>
        <w:ind w:left="567"/>
        <w:rPr>
          <w:rFonts w:asciiTheme="minorHAnsi" w:hAnsiTheme="minorHAnsi"/>
          <w:sz w:val="22"/>
          <w:szCs w:val="22"/>
          <w:lang w:eastAsia="en-CA"/>
        </w:rPr>
      </w:pPr>
      <w:r w:rsidRPr="003B42F8">
        <w:rPr>
          <w:rFonts w:asciiTheme="minorHAnsi" w:hAnsiTheme="minorHAnsi"/>
          <w:sz w:val="22"/>
          <w:szCs w:val="22"/>
          <w:lang w:eastAsia="en-CA"/>
        </w:rPr>
        <w:t>Crédit 4.2  Matériaux à faibles émissions, peintures et revêtements</w:t>
      </w:r>
    </w:p>
    <w:p w:rsidR="00E67700" w:rsidRPr="003B42F8" w:rsidRDefault="00E67700" w:rsidP="00E67700">
      <w:pPr>
        <w:tabs>
          <w:tab w:val="left" w:pos="1560"/>
        </w:tabs>
        <w:ind w:left="567"/>
        <w:rPr>
          <w:rFonts w:asciiTheme="minorHAnsi" w:hAnsiTheme="minorHAnsi"/>
          <w:sz w:val="22"/>
          <w:szCs w:val="22"/>
          <w:lang w:eastAsia="en-CA"/>
        </w:rPr>
      </w:pPr>
      <w:r w:rsidRPr="003B42F8">
        <w:rPr>
          <w:rFonts w:asciiTheme="minorHAnsi" w:hAnsiTheme="minorHAnsi"/>
          <w:sz w:val="22"/>
          <w:szCs w:val="22"/>
          <w:lang w:eastAsia="en-CA"/>
        </w:rPr>
        <w:t xml:space="preserve">Crédit 4.4  Matériaux à faibles émissions, bois composite et adhésifs pour </w:t>
      </w:r>
      <w:proofErr w:type="gramStart"/>
      <w:r w:rsidRPr="003B42F8">
        <w:rPr>
          <w:rFonts w:asciiTheme="minorHAnsi" w:hAnsiTheme="minorHAnsi"/>
          <w:sz w:val="22"/>
          <w:szCs w:val="22"/>
          <w:lang w:eastAsia="en-CA"/>
        </w:rPr>
        <w:t>stratifié</w:t>
      </w:r>
      <w:proofErr w:type="gramEnd"/>
    </w:p>
    <w:p w:rsidR="00E67700" w:rsidRDefault="00E67700" w:rsidP="00E67700">
      <w:pPr>
        <w:tabs>
          <w:tab w:val="left" w:pos="1560"/>
        </w:tabs>
        <w:ind w:left="567"/>
        <w:rPr>
          <w:rFonts w:asciiTheme="minorHAnsi" w:hAnsiTheme="minorHAnsi"/>
          <w:sz w:val="22"/>
          <w:szCs w:val="22"/>
          <w:lang w:eastAsia="en-CA"/>
        </w:rPr>
      </w:pPr>
      <w:r w:rsidRPr="003B42F8">
        <w:rPr>
          <w:rFonts w:asciiTheme="minorHAnsi" w:hAnsiTheme="minorHAnsi"/>
          <w:sz w:val="22"/>
          <w:szCs w:val="22"/>
          <w:lang w:eastAsia="en-CA"/>
        </w:rPr>
        <w:t>Crédit 4.5  Matériaux à faibles émissions, mobilier modulaire</w:t>
      </w:r>
    </w:p>
    <w:p w:rsidR="00E67700" w:rsidRDefault="00E67700" w:rsidP="00E67700">
      <w:pPr>
        <w:tabs>
          <w:tab w:val="left" w:pos="1560"/>
        </w:tabs>
        <w:ind w:left="567"/>
        <w:rPr>
          <w:rFonts w:asciiTheme="minorHAnsi" w:hAnsiTheme="minorHAnsi"/>
          <w:sz w:val="22"/>
          <w:szCs w:val="22"/>
          <w:lang w:eastAsia="en-CA"/>
        </w:rPr>
      </w:pPr>
      <w:r w:rsidRPr="003B42F8">
        <w:rPr>
          <w:rFonts w:asciiTheme="minorHAnsi" w:hAnsiTheme="minorHAnsi"/>
          <w:sz w:val="22"/>
          <w:szCs w:val="22"/>
          <w:lang w:eastAsia="en-CA"/>
        </w:rPr>
        <w:t xml:space="preserve">La conformité à LEED </w:t>
      </w:r>
      <w:r>
        <w:rPr>
          <w:rFonts w:asciiTheme="minorHAnsi" w:hAnsiTheme="minorHAnsi"/>
          <w:sz w:val="22"/>
          <w:szCs w:val="22"/>
          <w:lang w:eastAsia="en-CA"/>
        </w:rPr>
        <w:t xml:space="preserve">– Canada CI </w:t>
      </w:r>
      <w:r w:rsidRPr="003B42F8">
        <w:rPr>
          <w:rFonts w:asciiTheme="minorHAnsi" w:hAnsiTheme="minorHAnsi"/>
          <w:sz w:val="22"/>
          <w:szCs w:val="22"/>
          <w:lang w:eastAsia="en-CA"/>
        </w:rPr>
        <w:t>est assujettie à une vérification par le Canada.</w:t>
      </w:r>
    </w:p>
    <w:p w:rsidR="00E67700" w:rsidRDefault="00E67700">
      <w:pPr>
        <w:spacing w:after="0"/>
        <w:rPr>
          <w:rFonts w:asciiTheme="minorHAnsi" w:hAnsiTheme="minorHAnsi"/>
          <w:sz w:val="22"/>
          <w:szCs w:val="22"/>
          <w:lang w:eastAsia="en-CA"/>
        </w:rPr>
      </w:pPr>
      <w:r>
        <w:rPr>
          <w:rFonts w:asciiTheme="minorHAnsi" w:hAnsiTheme="minorHAnsi"/>
          <w:sz w:val="22"/>
          <w:szCs w:val="22"/>
          <w:lang w:eastAsia="en-CA"/>
        </w:rPr>
        <w:br w:type="page"/>
      </w:r>
    </w:p>
    <w:p w:rsidR="00E67700" w:rsidRPr="00BE1EBA" w:rsidRDefault="00E67700" w:rsidP="00467857">
      <w:pPr>
        <w:pStyle w:val="ModlesEn-tte1"/>
      </w:pPr>
      <w:bookmarkStart w:id="117" w:name="_Toc413070294"/>
      <w:r w:rsidRPr="00BE1EBA">
        <w:lastRenderedPageBreak/>
        <w:t>Annexe A­</w:t>
      </w:r>
      <w:r>
        <w:t>3</w:t>
      </w:r>
      <w:bookmarkEnd w:id="117"/>
    </w:p>
    <w:p w:rsidR="00E67700" w:rsidRPr="00BE1EBA" w:rsidRDefault="00E67700" w:rsidP="00E67700">
      <w:pPr>
        <w:pStyle w:val="ModlesEn-tte3"/>
        <w:jc w:val="center"/>
      </w:pPr>
      <w:bookmarkStart w:id="118" w:name="_Toc412634862"/>
      <w:r w:rsidRPr="00BE1EBA">
        <w:t>Produits livrables de l’arrangement en matière d’approvisionnement (AMA)</w:t>
      </w:r>
      <w:bookmarkEnd w:id="118"/>
    </w:p>
    <w:p w:rsidR="00E67700" w:rsidRPr="00BE1EBA" w:rsidRDefault="00E67700" w:rsidP="00E67700">
      <w:pPr>
        <w:spacing w:after="0"/>
        <w:rPr>
          <w:sz w:val="16"/>
        </w:rPr>
      </w:pPr>
    </w:p>
    <w:p w:rsidR="00E67700" w:rsidRPr="00BE1EBA" w:rsidRDefault="00E67700" w:rsidP="00E67700">
      <w:r w:rsidRPr="00BE1EBA">
        <w:t>Le fournisseur est tenu d’exécuter les tâches suivantes dans les délais indiqués dans chaque article. Si les renseignements ne sont pas fournis dans les délais prévus, le responsable de l’AMA accordera au fournisseur un délai lui permettant de corriger le problème. Le responsable de l’AMA peut suspendre ou annuler l’AMA si le fournisseur ne satisfait pas aux dispositions de la présente annexe.</w:t>
      </w:r>
    </w:p>
    <w:p w:rsidR="00E67700" w:rsidRPr="00BE1EBA" w:rsidRDefault="00E67700" w:rsidP="00E67700">
      <w:r w:rsidRPr="00BE1EBA">
        <w:t>En ce qui concerne les renseignements hébergés sur le site Web du fournisseur et qui sont décrits en détail dans la partie 6A, le fournisseur doit conserver les renseignements comme prévu pendant toute la durée de l’AMA. Le site Web vise à permettre au gouvernement fédéral d’accéder facilement aux renseignements sans frais pour le Canada. On s’attend à ce que les renseignements soient amenés à être modifiés et il incombe au fournisseur de mettre à jour immédiatement son site Web afin de tenir compte de ces modifications. Seule l’offre du fournisseur peut être modifiée lors des mises à jour du site Web. Les exigences de l’AMA doivent continuer à être respectées. Aucune mise à jour ne peut avoir force exécutoire ou modifier les autres modalités de l’AMA.</w:t>
      </w:r>
    </w:p>
    <w:p w:rsidR="00E67700" w:rsidRPr="00BE1EBA" w:rsidRDefault="00E67700" w:rsidP="00E67700">
      <w:pPr>
        <w:pStyle w:val="ModlesEn-tte3"/>
      </w:pPr>
      <w:bookmarkStart w:id="119" w:name="_Toc412634863"/>
      <w:r w:rsidRPr="00BE1EBA">
        <w:t>1.</w:t>
      </w:r>
      <w:r w:rsidRPr="00BE1EBA">
        <w:tab/>
        <w:t>Finitions standards</w:t>
      </w:r>
      <w:bookmarkEnd w:id="119"/>
    </w:p>
    <w:p w:rsidR="00E67700" w:rsidRPr="00BE1EBA" w:rsidRDefault="00E67700" w:rsidP="00E67700">
      <w:r w:rsidRPr="00BE1EBA">
        <w:t xml:space="preserve">Dans les 90 jours suivant l’attribution de l’AMA, le fournisseur doit remplir le document relatif aux finitions standards se trouvant à l’Annexe B pour les catégories et les produits proposés. Ces renseignements seront affichés sur le site Web du fournisseur. </w:t>
      </w:r>
    </w:p>
    <w:p w:rsidR="00E67700" w:rsidRPr="00BE1EBA" w:rsidRDefault="00E67700" w:rsidP="00E67700">
      <w:pPr>
        <w:pStyle w:val="ModlesEn-tte3"/>
      </w:pPr>
      <w:bookmarkStart w:id="120" w:name="_Toc412634864"/>
      <w:r w:rsidRPr="00BE1EBA">
        <w:t xml:space="preserve">2. </w:t>
      </w:r>
      <w:r w:rsidRPr="00BE1EBA">
        <w:tab/>
        <w:t>Images des produits</w:t>
      </w:r>
      <w:bookmarkEnd w:id="120"/>
    </w:p>
    <w:p w:rsidR="00E67700" w:rsidRPr="00BE1EBA" w:rsidRDefault="00E67700" w:rsidP="00E67700">
      <w:r w:rsidRPr="00BE1EBA">
        <w:t>Dans les 90 jours suivant l’attribution de l’AMA, le fournisseur est tenu de créer et de publier sur son site Web les images des principaux produits proposés, à tout le moins. Voici la liste des principaux produits :</w:t>
      </w:r>
    </w:p>
    <w:p w:rsidR="00E67700" w:rsidRPr="00BE1EBA" w:rsidRDefault="00E67700" w:rsidP="00E67700">
      <w:r w:rsidRPr="00BE1EBA">
        <w:t>Catégorie</w:t>
      </w:r>
    </w:p>
    <w:p w:rsidR="00E67700" w:rsidRPr="00BE1EBA" w:rsidRDefault="00E67700" w:rsidP="00E67700">
      <w:pPr>
        <w:tabs>
          <w:tab w:val="left" w:pos="1134"/>
        </w:tabs>
        <w:ind w:left="1134" w:hanging="567"/>
      </w:pPr>
      <w:r w:rsidRPr="00BE1EBA">
        <w:t xml:space="preserve">1 – Cloisons </w:t>
      </w:r>
      <w:proofErr w:type="spellStart"/>
      <w:r w:rsidRPr="00BE1EBA">
        <w:t>interraccordables</w:t>
      </w:r>
      <w:proofErr w:type="spellEnd"/>
      <w:r w:rsidRPr="00BE1EBA">
        <w:t xml:space="preserve"> et systèmes </w:t>
      </w:r>
      <w:proofErr w:type="spellStart"/>
      <w:r w:rsidRPr="00BE1EBA">
        <w:t>autostables</w:t>
      </w:r>
      <w:proofErr w:type="spellEnd"/>
    </w:p>
    <w:p w:rsidR="00E67700" w:rsidRPr="00BE1EBA" w:rsidRDefault="00E67700" w:rsidP="00E67700">
      <w:pPr>
        <w:pStyle w:val="ListParagraph"/>
        <w:tabs>
          <w:tab w:val="left" w:pos="1134"/>
        </w:tabs>
        <w:ind w:left="1134"/>
      </w:pPr>
      <w:r w:rsidRPr="00BE1EBA">
        <w:t xml:space="preserve">Panneau </w:t>
      </w:r>
    </w:p>
    <w:p w:rsidR="00E67700" w:rsidRPr="00BE1EBA" w:rsidRDefault="00E67700" w:rsidP="00E67700">
      <w:pPr>
        <w:pStyle w:val="ListParagraph"/>
        <w:tabs>
          <w:tab w:val="left" w:pos="1134"/>
        </w:tabs>
        <w:ind w:left="1134"/>
      </w:pPr>
      <w:r w:rsidRPr="00BE1EBA">
        <w:t>Surface de travail</w:t>
      </w:r>
    </w:p>
    <w:p w:rsidR="00E67700" w:rsidRPr="00BE1EBA" w:rsidRDefault="00E67700" w:rsidP="00E67700">
      <w:pPr>
        <w:pStyle w:val="ListParagraph"/>
        <w:tabs>
          <w:tab w:val="left" w:pos="1134"/>
        </w:tabs>
        <w:ind w:left="1134"/>
      </w:pPr>
      <w:r w:rsidRPr="00BE1EBA">
        <w:t>Plafond monté sur cloison</w:t>
      </w:r>
    </w:p>
    <w:p w:rsidR="00E67700" w:rsidRPr="00BE1EBA" w:rsidRDefault="00E67700" w:rsidP="00E67700">
      <w:pPr>
        <w:pStyle w:val="ListParagraph"/>
        <w:tabs>
          <w:tab w:val="left" w:pos="1134"/>
        </w:tabs>
        <w:ind w:left="1134"/>
      </w:pPr>
      <w:r w:rsidRPr="00BE1EBA">
        <w:t>Table de réunion</w:t>
      </w:r>
    </w:p>
    <w:p w:rsidR="00E67700" w:rsidRPr="00BE1EBA" w:rsidRDefault="00E67700" w:rsidP="00E67700">
      <w:pPr>
        <w:pStyle w:val="ListParagraph"/>
        <w:tabs>
          <w:tab w:val="left" w:pos="1134"/>
        </w:tabs>
        <w:ind w:left="1134"/>
      </w:pPr>
      <w:r w:rsidRPr="00BE1EBA">
        <w:t>Tables</w:t>
      </w:r>
    </w:p>
    <w:p w:rsidR="00E67700" w:rsidRPr="00BE1EBA" w:rsidRDefault="00E67700" w:rsidP="00E67700">
      <w:pPr>
        <w:pStyle w:val="ListParagraph"/>
        <w:tabs>
          <w:tab w:val="left" w:pos="1134"/>
        </w:tabs>
        <w:ind w:left="1134"/>
      </w:pPr>
      <w:r w:rsidRPr="00BE1EBA">
        <w:t>Caisson</w:t>
      </w:r>
    </w:p>
    <w:p w:rsidR="00E67700" w:rsidRPr="00BE1EBA" w:rsidRDefault="00E67700" w:rsidP="00E67700">
      <w:pPr>
        <w:pStyle w:val="ListParagraph"/>
        <w:tabs>
          <w:tab w:val="left" w:pos="1134"/>
        </w:tabs>
        <w:ind w:left="1134"/>
      </w:pPr>
      <w:r w:rsidRPr="00BE1EBA">
        <w:t>Armoires de rangement personnelles verticales</w:t>
      </w:r>
    </w:p>
    <w:p w:rsidR="00E67700" w:rsidRPr="00BE1EBA" w:rsidRDefault="00E67700" w:rsidP="00E67700">
      <w:pPr>
        <w:pStyle w:val="ListParagraph"/>
        <w:tabs>
          <w:tab w:val="left" w:pos="1134"/>
        </w:tabs>
        <w:ind w:left="1134"/>
      </w:pPr>
      <w:r w:rsidRPr="00BE1EBA">
        <w:t>Élément de rangement bas/crédence</w:t>
      </w:r>
    </w:p>
    <w:p w:rsidR="00E67700" w:rsidRPr="00BE1EBA" w:rsidRDefault="00E67700" w:rsidP="00E67700">
      <w:pPr>
        <w:pStyle w:val="ListParagraph"/>
        <w:tabs>
          <w:tab w:val="left" w:pos="1134"/>
        </w:tabs>
        <w:ind w:left="1134"/>
      </w:pPr>
      <w:r w:rsidRPr="00BE1EBA">
        <w:t>Élément de rangement haut/bahut</w:t>
      </w:r>
    </w:p>
    <w:p w:rsidR="00E67700" w:rsidRPr="00BE1EBA" w:rsidRDefault="00E67700" w:rsidP="00E67700">
      <w:pPr>
        <w:tabs>
          <w:tab w:val="left" w:pos="567"/>
        </w:tabs>
        <w:ind w:left="567"/>
      </w:pPr>
      <w:r w:rsidRPr="00BE1EBA">
        <w:t xml:space="preserve">2 – Tables ou bureaux </w:t>
      </w:r>
      <w:proofErr w:type="spellStart"/>
      <w:r w:rsidRPr="00BE1EBA">
        <w:t>autostables</w:t>
      </w:r>
      <w:proofErr w:type="spellEnd"/>
      <w:r w:rsidRPr="00BE1EBA">
        <w:t xml:space="preserve"> à hauteur réglable</w:t>
      </w:r>
    </w:p>
    <w:p w:rsidR="00E67700" w:rsidRPr="00BE1EBA" w:rsidRDefault="00E67700" w:rsidP="00E67700">
      <w:pPr>
        <w:tabs>
          <w:tab w:val="left" w:pos="1134"/>
        </w:tabs>
        <w:ind w:left="1134"/>
      </w:pPr>
      <w:r w:rsidRPr="00BE1EBA">
        <w:t>Surfaces de travail réglables en hauteur en continu – En position assise</w:t>
      </w:r>
    </w:p>
    <w:p w:rsidR="00E67700" w:rsidRPr="00BE1EBA" w:rsidRDefault="00E67700" w:rsidP="00E67700">
      <w:pPr>
        <w:tabs>
          <w:tab w:val="left" w:pos="1134"/>
        </w:tabs>
        <w:ind w:left="1134"/>
      </w:pPr>
      <w:r w:rsidRPr="00BE1EBA">
        <w:t xml:space="preserve">Surfaces de travail réglables en hauteur en continu – En position </w:t>
      </w:r>
      <w:proofErr w:type="spellStart"/>
      <w:r w:rsidRPr="00BE1EBA">
        <w:t>assise­debout</w:t>
      </w:r>
      <w:proofErr w:type="spellEnd"/>
    </w:p>
    <w:p w:rsidR="00E67700" w:rsidRPr="00BE1EBA" w:rsidRDefault="00E67700" w:rsidP="00E67700">
      <w:pPr>
        <w:tabs>
          <w:tab w:val="left" w:pos="567"/>
        </w:tabs>
        <w:ind w:left="567"/>
      </w:pPr>
      <w:r w:rsidRPr="00BE1EBA">
        <w:t>3 – Armoires de classement et de rangement métalliques</w:t>
      </w:r>
    </w:p>
    <w:p w:rsidR="00E67700" w:rsidRPr="00BE1EBA" w:rsidRDefault="00E67700" w:rsidP="00E67700">
      <w:pPr>
        <w:tabs>
          <w:tab w:val="left" w:pos="1134"/>
        </w:tabs>
        <w:ind w:left="1134"/>
      </w:pPr>
      <w:r w:rsidRPr="00BE1EBA">
        <w:t>Latérales</w:t>
      </w:r>
    </w:p>
    <w:p w:rsidR="00E67700" w:rsidRPr="00BE1EBA" w:rsidRDefault="00E67700" w:rsidP="00E67700">
      <w:pPr>
        <w:tabs>
          <w:tab w:val="left" w:pos="1134"/>
        </w:tabs>
        <w:ind w:left="1134"/>
      </w:pPr>
      <w:r w:rsidRPr="00BE1EBA">
        <w:t>Verticales</w:t>
      </w:r>
    </w:p>
    <w:p w:rsidR="00E67700" w:rsidRPr="00BE1EBA" w:rsidRDefault="00E67700" w:rsidP="00E67700">
      <w:pPr>
        <w:tabs>
          <w:tab w:val="left" w:pos="1134"/>
        </w:tabs>
        <w:ind w:left="1134"/>
      </w:pPr>
      <w:r w:rsidRPr="00BE1EBA">
        <w:t>Armoires de rangement</w:t>
      </w:r>
    </w:p>
    <w:p w:rsidR="00E67700" w:rsidRPr="00BE1EBA" w:rsidRDefault="00E67700" w:rsidP="00E67700">
      <w:pPr>
        <w:tabs>
          <w:tab w:val="left" w:pos="1134"/>
        </w:tabs>
        <w:ind w:left="1134"/>
      </w:pPr>
      <w:r w:rsidRPr="00BE1EBA">
        <w:t>Caisson</w:t>
      </w:r>
    </w:p>
    <w:p w:rsidR="00E67700" w:rsidRPr="00BE1EBA" w:rsidRDefault="00E67700" w:rsidP="00E67700">
      <w:pPr>
        <w:tabs>
          <w:tab w:val="left" w:pos="1134"/>
        </w:tabs>
        <w:ind w:left="1134"/>
      </w:pPr>
      <w:r w:rsidRPr="00BE1EBA">
        <w:t>Armoires de rangement personnelles verticales</w:t>
      </w:r>
    </w:p>
    <w:p w:rsidR="00E67700" w:rsidRPr="00BE1EBA" w:rsidRDefault="00E67700" w:rsidP="00E67700">
      <w:pPr>
        <w:tabs>
          <w:tab w:val="left" w:pos="567"/>
        </w:tabs>
        <w:ind w:left="567"/>
      </w:pPr>
      <w:r w:rsidRPr="00BE1EBA">
        <w:t xml:space="preserve">4 – Plaquage de bois – Produits </w:t>
      </w:r>
      <w:proofErr w:type="spellStart"/>
      <w:r w:rsidRPr="00BE1EBA">
        <w:t>autostables</w:t>
      </w:r>
      <w:proofErr w:type="spellEnd"/>
    </w:p>
    <w:p w:rsidR="00E67700" w:rsidRPr="00BE1EBA" w:rsidRDefault="00E67700" w:rsidP="00E67700">
      <w:pPr>
        <w:tabs>
          <w:tab w:val="left" w:pos="1134"/>
        </w:tabs>
        <w:ind w:left="1134"/>
      </w:pPr>
      <w:r w:rsidRPr="00BE1EBA">
        <w:t>Surface de travail</w:t>
      </w:r>
    </w:p>
    <w:p w:rsidR="00E67700" w:rsidRPr="00BE1EBA" w:rsidRDefault="00E67700" w:rsidP="00E67700">
      <w:pPr>
        <w:tabs>
          <w:tab w:val="left" w:pos="1134"/>
        </w:tabs>
        <w:ind w:left="1134"/>
      </w:pPr>
      <w:r w:rsidRPr="00BE1EBA">
        <w:t>Armoire de rangement</w:t>
      </w:r>
    </w:p>
    <w:p w:rsidR="00E67700" w:rsidRPr="00BE1EBA" w:rsidRDefault="00E67700" w:rsidP="00E67700">
      <w:pPr>
        <w:tabs>
          <w:tab w:val="left" w:pos="1134"/>
        </w:tabs>
        <w:ind w:left="1134"/>
      </w:pPr>
      <w:r w:rsidRPr="00BE1EBA">
        <w:lastRenderedPageBreak/>
        <w:t>Caisson</w:t>
      </w:r>
    </w:p>
    <w:p w:rsidR="00E67700" w:rsidRPr="00BE1EBA" w:rsidRDefault="00E67700" w:rsidP="00E67700">
      <w:pPr>
        <w:tabs>
          <w:tab w:val="left" w:pos="1134"/>
        </w:tabs>
        <w:ind w:left="1134"/>
      </w:pPr>
      <w:r w:rsidRPr="00BE1EBA">
        <w:t>Tour de rangement personnel</w:t>
      </w:r>
    </w:p>
    <w:p w:rsidR="00E67700" w:rsidRPr="00BE1EBA" w:rsidRDefault="00E67700" w:rsidP="00E67700">
      <w:pPr>
        <w:tabs>
          <w:tab w:val="left" w:pos="1134"/>
        </w:tabs>
        <w:ind w:left="1134"/>
      </w:pPr>
      <w:r w:rsidRPr="00BE1EBA">
        <w:t>Élément de rangement bas/crédence</w:t>
      </w:r>
    </w:p>
    <w:p w:rsidR="00E67700" w:rsidRPr="00BE1EBA" w:rsidRDefault="00E67700" w:rsidP="00E67700">
      <w:pPr>
        <w:tabs>
          <w:tab w:val="left" w:pos="1134"/>
        </w:tabs>
        <w:ind w:left="1134"/>
      </w:pPr>
      <w:r w:rsidRPr="00BE1EBA">
        <w:t>Élément de rangement haut/bahut</w:t>
      </w:r>
    </w:p>
    <w:p w:rsidR="00E67700" w:rsidRPr="00BE1EBA" w:rsidRDefault="00E67700" w:rsidP="00E67700">
      <w:pPr>
        <w:tabs>
          <w:tab w:val="left" w:pos="1134"/>
        </w:tabs>
        <w:ind w:left="1134"/>
      </w:pPr>
      <w:r w:rsidRPr="00BE1EBA">
        <w:t>Table de réunion</w:t>
      </w:r>
    </w:p>
    <w:p w:rsidR="00E67700" w:rsidRPr="00BE1EBA" w:rsidRDefault="00E67700" w:rsidP="00E67700">
      <w:pPr>
        <w:tabs>
          <w:tab w:val="left" w:pos="567"/>
        </w:tabs>
        <w:ind w:left="567"/>
      </w:pPr>
      <w:r w:rsidRPr="00BE1EBA">
        <w:t>5 – Accessoires et produits d’éclairage</w:t>
      </w:r>
    </w:p>
    <w:p w:rsidR="00E67700" w:rsidRPr="00BE1EBA" w:rsidRDefault="00E67700" w:rsidP="00E67700">
      <w:pPr>
        <w:tabs>
          <w:tab w:val="left" w:pos="1134"/>
        </w:tabs>
        <w:ind w:left="1134"/>
      </w:pPr>
      <w:r w:rsidRPr="00BE1EBA">
        <w:t>Support pour clavier et souris</w:t>
      </w:r>
    </w:p>
    <w:p w:rsidR="00E67700" w:rsidRPr="00BE1EBA" w:rsidRDefault="00E67700" w:rsidP="00E67700">
      <w:pPr>
        <w:tabs>
          <w:tab w:val="left" w:pos="1134"/>
        </w:tabs>
        <w:ind w:left="1134"/>
      </w:pPr>
      <w:r w:rsidRPr="00BE1EBA">
        <w:t>Unité centrale</w:t>
      </w:r>
    </w:p>
    <w:p w:rsidR="00E67700" w:rsidRPr="00BE1EBA" w:rsidRDefault="00E67700" w:rsidP="00E67700">
      <w:pPr>
        <w:tabs>
          <w:tab w:val="left" w:pos="1134"/>
        </w:tabs>
        <w:ind w:left="1134"/>
      </w:pPr>
      <w:r w:rsidRPr="00BE1EBA">
        <w:t>Supports d’écran</w:t>
      </w:r>
    </w:p>
    <w:p w:rsidR="00E67700" w:rsidRPr="00BE1EBA" w:rsidRDefault="00E67700" w:rsidP="00E67700">
      <w:pPr>
        <w:tabs>
          <w:tab w:val="left" w:pos="1134"/>
        </w:tabs>
        <w:ind w:left="1134"/>
      </w:pPr>
      <w:r w:rsidRPr="00BE1EBA">
        <w:t>Appareils d’éclairage</w:t>
      </w:r>
    </w:p>
    <w:p w:rsidR="00E67700" w:rsidRPr="003B42F8" w:rsidRDefault="00E67700" w:rsidP="00E67700">
      <w:pPr>
        <w:ind w:left="567" w:hanging="567"/>
        <w:rPr>
          <w:rFonts w:asciiTheme="minorHAnsi" w:hAnsiTheme="minorHAnsi"/>
          <w:sz w:val="22"/>
          <w:szCs w:val="22"/>
          <w:lang w:eastAsia="en-CA"/>
        </w:rPr>
      </w:pPr>
    </w:p>
    <w:p w:rsidR="00D07F21" w:rsidRPr="00BE1EBA" w:rsidRDefault="006D3CB4" w:rsidP="00D07F21">
      <w:r w:rsidRPr="00BE1EBA">
        <w:br w:type="page"/>
      </w:r>
    </w:p>
    <w:p w:rsidR="00D07F21" w:rsidRPr="00BE1EBA" w:rsidRDefault="00D07F21" w:rsidP="00D07F21">
      <w:pPr>
        <w:pStyle w:val="Heading1"/>
      </w:pPr>
    </w:p>
    <w:p w:rsidR="00D07F21" w:rsidRPr="00553D03" w:rsidRDefault="00D07F21" w:rsidP="00467857">
      <w:pPr>
        <w:pStyle w:val="ModlesEn-tte1"/>
      </w:pPr>
      <w:bookmarkStart w:id="121" w:name="_Toc413070295"/>
      <w:r w:rsidRPr="00553D03">
        <w:t>Annexe B</w:t>
      </w:r>
      <w:bookmarkEnd w:id="121"/>
    </w:p>
    <w:p w:rsidR="00D07F21" w:rsidRPr="00BE1EBA" w:rsidRDefault="00D07F21" w:rsidP="007A7365">
      <w:pPr>
        <w:pStyle w:val="ModlesEn-tte3"/>
        <w:jc w:val="center"/>
      </w:pPr>
      <w:bookmarkStart w:id="122" w:name="_Toc412634875"/>
      <w:r w:rsidRPr="00BE1EBA">
        <w:t xml:space="preserve">Catalogue des produits et services destinés aux </w:t>
      </w:r>
      <w:r w:rsidR="00A77994" w:rsidRPr="00BE1EBA">
        <w:t>postes de travail</w:t>
      </w:r>
      <w:r w:rsidRPr="00BE1EBA">
        <w:t xml:space="preserve"> et prix.</w:t>
      </w:r>
      <w:bookmarkEnd w:id="122"/>
    </w:p>
    <w:p w:rsidR="00D07F21" w:rsidRPr="00BE1EBA" w:rsidRDefault="00D07F21" w:rsidP="00D07F21">
      <w:pPr>
        <w:rPr>
          <w:b/>
          <w:bCs/>
        </w:rPr>
      </w:pPr>
      <w:r w:rsidRPr="00BE1EBA">
        <w:rPr>
          <w:b/>
        </w:rPr>
        <w:t>1. Produits et service dans le cadre de l</w:t>
      </w:r>
      <w:r w:rsidR="00812400" w:rsidRPr="00BE1EBA">
        <w:rPr>
          <w:b/>
        </w:rPr>
        <w:t>’</w:t>
      </w:r>
      <w:r w:rsidRPr="00BE1EBA">
        <w:rPr>
          <w:b/>
        </w:rPr>
        <w:t>arrangement en matière d</w:t>
      </w:r>
      <w:r w:rsidR="00812400" w:rsidRPr="00BE1EBA">
        <w:rPr>
          <w:b/>
        </w:rPr>
        <w:t>’</w:t>
      </w:r>
      <w:r w:rsidRPr="00BE1EBA">
        <w:rPr>
          <w:b/>
        </w:rPr>
        <w:t>approvisionnement (AMA) du fournisseur</w:t>
      </w:r>
    </w:p>
    <w:p w:rsidR="00D07F21" w:rsidRPr="00BE1EBA" w:rsidRDefault="00D07F21" w:rsidP="00D07F21">
      <w:pPr>
        <w:pStyle w:val="ListParagraph"/>
        <w:numPr>
          <w:ilvl w:val="0"/>
          <w:numId w:val="24"/>
        </w:numPr>
        <w:tabs>
          <w:tab w:val="left" w:pos="0"/>
        </w:tabs>
        <w:overflowPunct w:val="0"/>
        <w:autoSpaceDE w:val="0"/>
        <w:autoSpaceDN w:val="0"/>
        <w:adjustRightInd w:val="0"/>
        <w:spacing w:after="240"/>
        <w:ind w:left="567" w:hanging="283"/>
        <w:contextualSpacing w:val="0"/>
        <w:textAlignment w:val="baseline"/>
      </w:pPr>
      <w:r w:rsidRPr="00BE1EBA">
        <w:t>Les produits offerts par les fournisseurs dans le cadre du présent AMA sont énumérés dans l</w:t>
      </w:r>
      <w:r w:rsidR="00812400" w:rsidRPr="00BE1EBA">
        <w:t>’</w:t>
      </w:r>
      <w:r w:rsidRPr="00BE1EBA">
        <w:t>Annexe B</w:t>
      </w:r>
      <w:r w:rsidR="003262E1" w:rsidRPr="00BE1EBA">
        <w:t>­</w:t>
      </w:r>
      <w:r w:rsidRPr="00BE1EBA">
        <w:t>1 ci</w:t>
      </w:r>
      <w:r w:rsidR="003262E1" w:rsidRPr="00BE1EBA">
        <w:t>­</w:t>
      </w:r>
      <w:r w:rsidRPr="00BE1EBA">
        <w:t xml:space="preserve">jointe. </w:t>
      </w:r>
    </w:p>
    <w:p w:rsidR="00D07F21" w:rsidRPr="00BE1EBA" w:rsidRDefault="00D07F21" w:rsidP="00B55145">
      <w:pPr>
        <w:pStyle w:val="ListParagraph"/>
        <w:numPr>
          <w:ilvl w:val="0"/>
          <w:numId w:val="24"/>
        </w:numPr>
        <w:tabs>
          <w:tab w:val="left" w:pos="0"/>
          <w:tab w:val="left" w:pos="1134"/>
        </w:tabs>
        <w:overflowPunct w:val="0"/>
        <w:autoSpaceDE w:val="0"/>
        <w:autoSpaceDN w:val="0"/>
        <w:adjustRightInd w:val="0"/>
        <w:spacing w:after="240" w:line="360" w:lineRule="auto"/>
        <w:ind w:left="576" w:hanging="288"/>
        <w:contextualSpacing w:val="0"/>
        <w:textAlignment w:val="baseline"/>
      </w:pPr>
      <w:r w:rsidRPr="00BE1EBA">
        <w:t>Dans le cadre de la SAEA seulement, certains produits peuvent être déclarés conformes à la définition le contenu canadien</w:t>
      </w:r>
      <w:r w:rsidR="00B55145" w:rsidRPr="00BE1EBA">
        <w:t xml:space="preserve"> </w:t>
      </w:r>
      <w:r w:rsidRPr="00BE1EBA">
        <w:t>et figurent dans la colonne « Contenu canadien » de l</w:t>
      </w:r>
      <w:r w:rsidR="00812400" w:rsidRPr="00BE1EBA">
        <w:t>’</w:t>
      </w:r>
      <w:r w:rsidRPr="00BE1EBA">
        <w:t>Annexe B</w:t>
      </w:r>
      <w:r w:rsidR="003262E1" w:rsidRPr="00BE1EBA">
        <w:t>­</w:t>
      </w:r>
      <w:r w:rsidRPr="00BE1EBA">
        <w:t>1 ci</w:t>
      </w:r>
      <w:r w:rsidR="003262E1" w:rsidRPr="00BE1EBA">
        <w:t>­</w:t>
      </w:r>
      <w:r w:rsidRPr="00BE1EBA">
        <w:t>jointe.</w:t>
      </w:r>
    </w:p>
    <w:p w:rsidR="00D07F21" w:rsidRPr="0055292E" w:rsidRDefault="00D07F21" w:rsidP="00D07F21">
      <w:pPr>
        <w:pStyle w:val="ListParagraph"/>
        <w:numPr>
          <w:ilvl w:val="0"/>
          <w:numId w:val="24"/>
        </w:numPr>
        <w:tabs>
          <w:tab w:val="left" w:pos="0"/>
        </w:tabs>
        <w:overflowPunct w:val="0"/>
        <w:autoSpaceDE w:val="0"/>
        <w:autoSpaceDN w:val="0"/>
        <w:adjustRightInd w:val="0"/>
        <w:spacing w:after="240"/>
        <w:ind w:left="567" w:hanging="283"/>
        <w:contextualSpacing w:val="0"/>
        <w:textAlignment w:val="baseline"/>
      </w:pPr>
      <w:r w:rsidRPr="00BE1EBA">
        <w:t xml:space="preserve">Les services liés aux produits offerts par le fournisseur dans le cadre du présent AMA sont énumérés </w:t>
      </w:r>
      <w:r w:rsidRPr="0055292E">
        <w:t>dans l</w:t>
      </w:r>
      <w:r w:rsidR="00812400" w:rsidRPr="0055292E">
        <w:t>’</w:t>
      </w:r>
      <w:r w:rsidR="00000822" w:rsidRPr="0055292E">
        <w:t>article 5</w:t>
      </w:r>
      <w:r w:rsidRPr="0055292E">
        <w:t>.2 de l</w:t>
      </w:r>
      <w:r w:rsidR="00812400" w:rsidRPr="0055292E">
        <w:t>’</w:t>
      </w:r>
      <w:r w:rsidRPr="0055292E">
        <w:t xml:space="preserve">Annexe B </w:t>
      </w:r>
      <w:proofErr w:type="spellStart"/>
      <w:r w:rsidRPr="0055292E">
        <w:t>ci</w:t>
      </w:r>
      <w:r w:rsidR="003262E1" w:rsidRPr="0055292E">
        <w:t>­</w:t>
      </w:r>
      <w:r w:rsidRPr="0055292E">
        <w:t>dessous</w:t>
      </w:r>
      <w:proofErr w:type="spellEnd"/>
      <w:r w:rsidRPr="0055292E">
        <w:t xml:space="preserve">. </w:t>
      </w:r>
    </w:p>
    <w:p w:rsidR="00D07F21" w:rsidRPr="0055292E" w:rsidRDefault="00D07F21" w:rsidP="00D07F21">
      <w:pPr>
        <w:rPr>
          <w:b/>
          <w:bCs/>
        </w:rPr>
      </w:pPr>
      <w:r w:rsidRPr="0055292E">
        <w:rPr>
          <w:b/>
        </w:rPr>
        <w:t>2. Prix du fournisseur dans l</w:t>
      </w:r>
      <w:r w:rsidR="00812400" w:rsidRPr="0055292E">
        <w:rPr>
          <w:b/>
        </w:rPr>
        <w:t>’</w:t>
      </w:r>
      <w:r w:rsidRPr="0055292E">
        <w:rPr>
          <w:b/>
        </w:rPr>
        <w:t>AMA</w:t>
      </w:r>
    </w:p>
    <w:p w:rsidR="00D07F21" w:rsidRPr="0055292E" w:rsidRDefault="00D07F21" w:rsidP="00D07F21">
      <w:pPr>
        <w:tabs>
          <w:tab w:val="left" w:pos="567"/>
        </w:tabs>
        <w:ind w:left="567" w:hanging="283"/>
      </w:pPr>
      <w:r w:rsidRPr="0055292E">
        <w:t>a.</w:t>
      </w:r>
      <w:r w:rsidRPr="0055292E">
        <w:tab/>
        <w:t>Le prix plafond établi par le fournisseur pour chacun de ses produits est présenté à l</w:t>
      </w:r>
      <w:r w:rsidR="00812400" w:rsidRPr="0055292E">
        <w:t>’</w:t>
      </w:r>
      <w:r w:rsidRPr="0055292E">
        <w:t>Annexe B</w:t>
      </w:r>
      <w:r w:rsidR="003262E1" w:rsidRPr="0055292E">
        <w:t>­</w:t>
      </w:r>
      <w:r w:rsidRPr="0055292E">
        <w:t>1 et</w:t>
      </w:r>
    </w:p>
    <w:p w:rsidR="00D07F21" w:rsidRPr="0055292E" w:rsidRDefault="00D07F21" w:rsidP="00D07F21">
      <w:pPr>
        <w:pStyle w:val="ListParagraph"/>
        <w:numPr>
          <w:ilvl w:val="0"/>
          <w:numId w:val="21"/>
        </w:numPr>
        <w:overflowPunct w:val="0"/>
        <w:autoSpaceDE w:val="0"/>
        <w:autoSpaceDN w:val="0"/>
        <w:adjustRightInd w:val="0"/>
        <w:spacing w:after="240"/>
        <w:ind w:left="1135" w:hanging="284"/>
        <w:contextualSpacing w:val="0"/>
        <w:textAlignment w:val="baseline"/>
      </w:pPr>
      <w:r w:rsidRPr="0055292E">
        <w:t>exclut la livraison;</w:t>
      </w:r>
    </w:p>
    <w:p w:rsidR="00D07F21" w:rsidRPr="0055292E" w:rsidRDefault="00D07F21" w:rsidP="00D07F21">
      <w:pPr>
        <w:pStyle w:val="ListParagraph"/>
        <w:numPr>
          <w:ilvl w:val="0"/>
          <w:numId w:val="21"/>
        </w:numPr>
        <w:overflowPunct w:val="0"/>
        <w:autoSpaceDE w:val="0"/>
        <w:autoSpaceDN w:val="0"/>
        <w:adjustRightInd w:val="0"/>
        <w:spacing w:after="240"/>
        <w:ind w:left="1135" w:hanging="284"/>
        <w:contextualSpacing w:val="0"/>
        <w:textAlignment w:val="baseline"/>
      </w:pPr>
      <w:r w:rsidRPr="0055292E">
        <w:t>exclut l</w:t>
      </w:r>
      <w:r w:rsidR="00812400" w:rsidRPr="0055292E">
        <w:t>’</w:t>
      </w:r>
      <w:r w:rsidRPr="0055292E">
        <w:t>installation;</w:t>
      </w:r>
    </w:p>
    <w:p w:rsidR="00D07F21" w:rsidRPr="0055292E" w:rsidRDefault="00D07F21" w:rsidP="00D07F21">
      <w:pPr>
        <w:pStyle w:val="ListParagraph"/>
        <w:numPr>
          <w:ilvl w:val="0"/>
          <w:numId w:val="21"/>
        </w:numPr>
        <w:overflowPunct w:val="0"/>
        <w:autoSpaceDE w:val="0"/>
        <w:autoSpaceDN w:val="0"/>
        <w:adjustRightInd w:val="0"/>
        <w:spacing w:after="240"/>
        <w:ind w:left="1135" w:hanging="284"/>
        <w:contextualSpacing w:val="0"/>
        <w:textAlignment w:val="baseline"/>
      </w:pPr>
      <w:r w:rsidRPr="0055292E">
        <w:t>exclut le matériel supplémentaire (le cas échéant)</w:t>
      </w:r>
    </w:p>
    <w:p w:rsidR="00D07F21" w:rsidRPr="0055292E" w:rsidRDefault="00D07F21" w:rsidP="00D07F21">
      <w:pPr>
        <w:pStyle w:val="ListParagraph"/>
        <w:numPr>
          <w:ilvl w:val="0"/>
          <w:numId w:val="21"/>
        </w:numPr>
        <w:overflowPunct w:val="0"/>
        <w:autoSpaceDE w:val="0"/>
        <w:autoSpaceDN w:val="0"/>
        <w:adjustRightInd w:val="0"/>
        <w:spacing w:after="240"/>
        <w:ind w:left="1135" w:hanging="284"/>
        <w:contextualSpacing w:val="0"/>
        <w:textAlignment w:val="baseline"/>
      </w:pPr>
      <w:r w:rsidRPr="0055292E">
        <w:t>exclut les taxes applicables.</w:t>
      </w:r>
    </w:p>
    <w:p w:rsidR="00D07F21" w:rsidRPr="0055292E" w:rsidRDefault="00D07F21" w:rsidP="00D07F21">
      <w:pPr>
        <w:tabs>
          <w:tab w:val="left" w:pos="567"/>
        </w:tabs>
        <w:ind w:left="567" w:hanging="283"/>
      </w:pPr>
      <w:r w:rsidRPr="0055292E">
        <w:t>b.</w:t>
      </w:r>
      <w:r w:rsidRPr="0055292E">
        <w:tab/>
        <w:t>Les taux horaires maximums du fournisseur s</w:t>
      </w:r>
      <w:r w:rsidR="00812400" w:rsidRPr="0055292E">
        <w:t>’</w:t>
      </w:r>
      <w:r w:rsidRPr="0055292E">
        <w:t>entendent tout compris pour chaque service lié à un produit énuméré à l</w:t>
      </w:r>
      <w:r w:rsidR="00812400" w:rsidRPr="0055292E">
        <w:t>’</w:t>
      </w:r>
      <w:r w:rsidR="00000822" w:rsidRPr="0055292E">
        <w:t>article 5</w:t>
      </w:r>
      <w:r w:rsidRPr="0055292E">
        <w:t xml:space="preserve">.2 </w:t>
      </w:r>
      <w:proofErr w:type="spellStart"/>
      <w:r w:rsidRPr="0055292E">
        <w:t>ci</w:t>
      </w:r>
      <w:r w:rsidR="003262E1" w:rsidRPr="0055292E">
        <w:t>­</w:t>
      </w:r>
      <w:r w:rsidRPr="0055292E">
        <w:t>dessous</w:t>
      </w:r>
      <w:proofErr w:type="spellEnd"/>
      <w:r w:rsidRPr="0055292E">
        <w:t xml:space="preserve"> et</w:t>
      </w:r>
    </w:p>
    <w:p w:rsidR="00D07F21" w:rsidRPr="0055292E" w:rsidRDefault="00D07F21" w:rsidP="00D07F21">
      <w:pPr>
        <w:pStyle w:val="ListParagraph"/>
        <w:numPr>
          <w:ilvl w:val="0"/>
          <w:numId w:val="22"/>
        </w:numPr>
        <w:overflowPunct w:val="0"/>
        <w:autoSpaceDE w:val="0"/>
        <w:autoSpaceDN w:val="0"/>
        <w:adjustRightInd w:val="0"/>
        <w:spacing w:after="240"/>
        <w:ind w:left="1135" w:hanging="284"/>
        <w:contextualSpacing w:val="0"/>
        <w:textAlignment w:val="baseline"/>
      </w:pPr>
      <w:r w:rsidRPr="0055292E">
        <w:t>excluent les taxes applicables.</w:t>
      </w:r>
    </w:p>
    <w:p w:rsidR="00D07F21" w:rsidRPr="00BE1EBA" w:rsidRDefault="00AC1452" w:rsidP="00BA6C07">
      <w:pPr>
        <w:pStyle w:val="ModlesEn-tte3"/>
      </w:pPr>
      <w:r>
        <w:t xml:space="preserve">3. </w:t>
      </w:r>
      <w:bookmarkStart w:id="123" w:name="_Toc412634876"/>
      <w:r w:rsidR="00D07F21" w:rsidRPr="00BE1EBA">
        <w:t>Modalités d</w:t>
      </w:r>
      <w:r w:rsidR="00812400" w:rsidRPr="00BE1EBA">
        <w:t>’</w:t>
      </w:r>
      <w:r w:rsidR="00D07F21" w:rsidRPr="00BE1EBA">
        <w:t>établissement des prix pour la base de paiement</w:t>
      </w:r>
      <w:bookmarkEnd w:id="123"/>
    </w:p>
    <w:p w:rsidR="00D07F21" w:rsidRPr="00BE1EBA" w:rsidRDefault="00D07F21" w:rsidP="00D07F21">
      <w:pPr>
        <w:pStyle w:val="ListParagraph"/>
        <w:numPr>
          <w:ilvl w:val="0"/>
          <w:numId w:val="23"/>
        </w:numPr>
        <w:tabs>
          <w:tab w:val="left" w:pos="0"/>
        </w:tabs>
        <w:overflowPunct w:val="0"/>
        <w:autoSpaceDE w:val="0"/>
        <w:autoSpaceDN w:val="0"/>
        <w:adjustRightInd w:val="0"/>
        <w:spacing w:after="240"/>
        <w:ind w:left="567" w:hanging="283"/>
        <w:contextualSpacing w:val="0"/>
        <w:textAlignment w:val="baseline"/>
      </w:pPr>
      <w:r w:rsidRPr="00BE1EBA">
        <w:t>La présente section est applicable aux invitations à soumissionner, aux soumissions subséquentes et aux contrats découlant de l</w:t>
      </w:r>
      <w:r w:rsidR="00812400" w:rsidRPr="00BE1EBA">
        <w:t>’</w:t>
      </w:r>
      <w:r w:rsidRPr="00BE1EBA">
        <w:t>AMA.</w:t>
      </w:r>
    </w:p>
    <w:p w:rsidR="00D07F21" w:rsidRPr="00BE1EBA" w:rsidRDefault="00D07F21" w:rsidP="00D07F21">
      <w:pPr>
        <w:pStyle w:val="ListParagraph"/>
        <w:numPr>
          <w:ilvl w:val="0"/>
          <w:numId w:val="23"/>
        </w:numPr>
        <w:tabs>
          <w:tab w:val="left" w:pos="0"/>
        </w:tabs>
        <w:overflowPunct w:val="0"/>
        <w:autoSpaceDE w:val="0"/>
        <w:autoSpaceDN w:val="0"/>
        <w:adjustRightInd w:val="0"/>
        <w:spacing w:after="240"/>
        <w:ind w:left="567" w:hanging="283"/>
        <w:contextualSpacing w:val="0"/>
        <w:textAlignment w:val="baseline"/>
      </w:pPr>
      <w:r w:rsidRPr="00BE1EBA">
        <w:t>Le Canada n</w:t>
      </w:r>
      <w:r w:rsidR="00812400" w:rsidRPr="00BE1EBA">
        <w:t>’</w:t>
      </w:r>
      <w:r w:rsidRPr="00BE1EBA">
        <w:t>est pas tenu d</w:t>
      </w:r>
      <w:r w:rsidR="00812400" w:rsidRPr="00BE1EBA">
        <w:t>’</w:t>
      </w:r>
      <w:r w:rsidRPr="00BE1EBA">
        <w:t>acheter les services de livraison et d</w:t>
      </w:r>
      <w:r w:rsidR="00812400" w:rsidRPr="00BE1EBA">
        <w:t>’</w:t>
      </w:r>
      <w:r w:rsidRPr="00BE1EBA">
        <w:t>installation.</w:t>
      </w:r>
    </w:p>
    <w:p w:rsidR="00D07F21" w:rsidRPr="00BE1EBA" w:rsidRDefault="00D07F21" w:rsidP="00D07F21">
      <w:pPr>
        <w:pStyle w:val="ListParagraph"/>
        <w:numPr>
          <w:ilvl w:val="0"/>
          <w:numId w:val="23"/>
        </w:numPr>
        <w:tabs>
          <w:tab w:val="left" w:pos="0"/>
        </w:tabs>
        <w:overflowPunct w:val="0"/>
        <w:autoSpaceDE w:val="0"/>
        <w:autoSpaceDN w:val="0"/>
        <w:adjustRightInd w:val="0"/>
        <w:spacing w:after="240"/>
        <w:ind w:left="567" w:hanging="283"/>
        <w:contextualSpacing w:val="0"/>
        <w:textAlignment w:val="baseline"/>
      </w:pPr>
      <w:r w:rsidRPr="00BE1EBA">
        <w:t>Le prix des achats par le Canada de produits, de services de livraison et d</w:t>
      </w:r>
      <w:r w:rsidR="00812400" w:rsidRPr="00BE1EBA">
        <w:t>’</w:t>
      </w:r>
      <w:r w:rsidRPr="00BE1EBA">
        <w:t>installation et les servies liés aux produits doit être établi conformément aux modalités de la demande de soumissions.</w:t>
      </w:r>
    </w:p>
    <w:p w:rsidR="00D07F21" w:rsidRPr="00BE1EBA" w:rsidRDefault="00AC1452" w:rsidP="00D07F21">
      <w:pPr>
        <w:rPr>
          <w:b/>
          <w:bCs/>
        </w:rPr>
      </w:pPr>
      <w:proofErr w:type="gramStart"/>
      <w:r>
        <w:rPr>
          <w:b/>
        </w:rPr>
        <w:t>4.</w:t>
      </w:r>
      <w:r w:rsidR="00D07F21" w:rsidRPr="00BE1EBA">
        <w:rPr>
          <w:b/>
        </w:rPr>
        <w:t>Prix</w:t>
      </w:r>
      <w:proofErr w:type="gramEnd"/>
      <w:r w:rsidR="00D07F21" w:rsidRPr="00BE1EBA">
        <w:rPr>
          <w:b/>
        </w:rPr>
        <w:t xml:space="preserve"> du fournisseur figurant dans la soumission</w:t>
      </w:r>
    </w:p>
    <w:p w:rsidR="00D07F21" w:rsidRPr="00BE1EBA" w:rsidRDefault="00D07F21" w:rsidP="00D07F21">
      <w:pPr>
        <w:rPr>
          <w:bCs/>
        </w:rPr>
      </w:pPr>
      <w:r w:rsidRPr="00BE1EBA">
        <w:t>En plus de l</w:t>
      </w:r>
      <w:r w:rsidR="00812400" w:rsidRPr="00BE1EBA">
        <w:t>’</w:t>
      </w:r>
      <w:r w:rsidRPr="00BE1EBA">
        <w:t>ensemble des dispositions de la présente annexe, ce qui suit s</w:t>
      </w:r>
      <w:r w:rsidR="00812400" w:rsidRPr="00BE1EBA">
        <w:t>’</w:t>
      </w:r>
      <w:r w:rsidRPr="00BE1EBA">
        <w:t>applique aux prix figurant dans la soumission que le fournisseur présente pour répondre aux demandes de soumissions du Canada au cours de la période de l</w:t>
      </w:r>
      <w:r w:rsidR="00812400" w:rsidRPr="00BE1EBA">
        <w:t>’</w:t>
      </w:r>
      <w:r w:rsidRPr="00BE1EBA">
        <w:t>AMA.</w:t>
      </w:r>
    </w:p>
    <w:p w:rsidR="00D07F21" w:rsidRPr="00BE1EBA" w:rsidRDefault="00D07F21" w:rsidP="00B55145">
      <w:pPr>
        <w:keepNext/>
        <w:keepLines/>
      </w:pPr>
      <w:r w:rsidRPr="00BE1EBA">
        <w:lastRenderedPageBreak/>
        <w:t>Les soumissions que le fournisseur présente pour répondre aux invitations à soumissionner du Canada dans le cadre de l</w:t>
      </w:r>
      <w:r w:rsidR="00812400" w:rsidRPr="00BE1EBA">
        <w:t>’</w:t>
      </w:r>
      <w:r w:rsidRPr="00BE1EBA">
        <w:t>AMA ne doivent pas :</w:t>
      </w:r>
    </w:p>
    <w:p w:rsidR="00D07F21" w:rsidRPr="00BE1EBA" w:rsidRDefault="00D07F21" w:rsidP="00B55145">
      <w:pPr>
        <w:keepNext/>
        <w:keepLines/>
      </w:pPr>
      <w:r w:rsidRPr="00BE1EBA">
        <w:t>Pour les prix plafonds :</w:t>
      </w:r>
    </w:p>
    <w:p w:rsidR="00D07F21" w:rsidRPr="00BE1EBA" w:rsidRDefault="00D07F21" w:rsidP="00B55145">
      <w:pPr>
        <w:pStyle w:val="ListParagraph"/>
        <w:keepNext/>
        <w:keepLines/>
        <w:numPr>
          <w:ilvl w:val="0"/>
          <w:numId w:val="25"/>
        </w:numPr>
        <w:tabs>
          <w:tab w:val="left" w:pos="0"/>
        </w:tabs>
        <w:overflowPunct w:val="0"/>
        <w:autoSpaceDE w:val="0"/>
        <w:autoSpaceDN w:val="0"/>
        <w:adjustRightInd w:val="0"/>
        <w:spacing w:after="240"/>
        <w:ind w:left="567" w:hanging="283"/>
        <w:contextualSpacing w:val="0"/>
        <w:textAlignment w:val="baseline"/>
      </w:pPr>
      <w:r w:rsidRPr="00BE1EBA">
        <w:t>contenir un prix de lot ferme qui dépasse le prix plafond total des produits ou services correspondants dans l</w:t>
      </w:r>
      <w:r w:rsidR="00812400" w:rsidRPr="00BE1EBA">
        <w:t>’</w:t>
      </w:r>
      <w:r w:rsidRPr="00BE1EBA">
        <w:t>AMA. Cette exigence est applicable lorsqu</w:t>
      </w:r>
      <w:r w:rsidR="00812400" w:rsidRPr="00BE1EBA">
        <w:t>’</w:t>
      </w:r>
      <w:r w:rsidRPr="00BE1EBA">
        <w:t>un prix de lot ferme est exigé selon l</w:t>
      </w:r>
      <w:r w:rsidR="00812400" w:rsidRPr="00BE1EBA">
        <w:t>’</w:t>
      </w:r>
      <w:r w:rsidRPr="00BE1EBA">
        <w:t>invitation à soumissionner;</w:t>
      </w:r>
    </w:p>
    <w:p w:rsidR="00D07F21" w:rsidRPr="00BE1EBA" w:rsidRDefault="00D07F21" w:rsidP="00D07F21">
      <w:pPr>
        <w:pStyle w:val="ListParagraph"/>
        <w:numPr>
          <w:ilvl w:val="0"/>
          <w:numId w:val="25"/>
        </w:numPr>
        <w:tabs>
          <w:tab w:val="left" w:pos="0"/>
        </w:tabs>
        <w:overflowPunct w:val="0"/>
        <w:autoSpaceDE w:val="0"/>
        <w:autoSpaceDN w:val="0"/>
        <w:adjustRightInd w:val="0"/>
        <w:spacing w:after="240"/>
        <w:ind w:left="567" w:hanging="283"/>
        <w:contextualSpacing w:val="0"/>
        <w:textAlignment w:val="baseline"/>
      </w:pPr>
      <w:r w:rsidRPr="00BE1EBA">
        <w:t>contenir des prix unitaires fermes qui dépassent les prix plafonds unitaires des produits ou services correspondants dans l</w:t>
      </w:r>
      <w:r w:rsidR="00812400" w:rsidRPr="00BE1EBA">
        <w:t>’</w:t>
      </w:r>
      <w:r w:rsidRPr="00BE1EBA">
        <w:t>AMA. Cette exigence est applicable lorsque des prix unitaires fermes sont exigés selon l</w:t>
      </w:r>
      <w:r w:rsidR="00812400" w:rsidRPr="00BE1EBA">
        <w:t>’</w:t>
      </w:r>
      <w:r w:rsidRPr="00BE1EBA">
        <w:t>invitation à soumissionner.</w:t>
      </w:r>
    </w:p>
    <w:p w:rsidR="00D07F21" w:rsidRPr="00BE1EBA" w:rsidRDefault="00AC1452" w:rsidP="009B6C4B">
      <w:pPr>
        <w:pStyle w:val="ModlesEn-tte3"/>
      </w:pPr>
      <w:bookmarkStart w:id="124" w:name="_Toc412634877"/>
      <w:proofErr w:type="gramStart"/>
      <w:r>
        <w:t>5.</w:t>
      </w:r>
      <w:r w:rsidR="00D07F21" w:rsidRPr="00BE1EBA">
        <w:t>Catalogue</w:t>
      </w:r>
      <w:proofErr w:type="gramEnd"/>
      <w:r w:rsidR="00D07F21" w:rsidRPr="00BE1EBA">
        <w:t xml:space="preserve"> des produits et services destinés aux </w:t>
      </w:r>
      <w:r w:rsidR="00A77994" w:rsidRPr="00BE1EBA">
        <w:t>postes de travail</w:t>
      </w:r>
      <w:bookmarkEnd w:id="124"/>
    </w:p>
    <w:p w:rsidR="00D07F21" w:rsidRPr="00BE1EBA" w:rsidRDefault="00AC1452" w:rsidP="00D07F21">
      <w:r>
        <w:t>5</w:t>
      </w:r>
      <w:r w:rsidR="00D07F21" w:rsidRPr="00BE1EBA">
        <w:t>.1 Produit</w:t>
      </w:r>
      <w:r w:rsidR="00D07F21" w:rsidRPr="00BE1EBA">
        <w:rPr>
          <w:b/>
        </w:rPr>
        <w:t xml:space="preserve"> </w:t>
      </w:r>
      <w:r w:rsidR="00D07F21" w:rsidRPr="00BE1EBA">
        <w:t xml:space="preserve">– se </w:t>
      </w:r>
      <w:proofErr w:type="gramStart"/>
      <w:r w:rsidR="00D07F21" w:rsidRPr="00BE1EBA">
        <w:t>reporter</w:t>
      </w:r>
      <w:proofErr w:type="gramEnd"/>
      <w:r w:rsidR="00D07F21" w:rsidRPr="00BE1EBA">
        <w:t xml:space="preserve"> à l</w:t>
      </w:r>
      <w:r w:rsidR="00812400" w:rsidRPr="00BE1EBA">
        <w:t>’</w:t>
      </w:r>
      <w:r w:rsidR="00D07F21" w:rsidRPr="00BE1EBA">
        <w:t>Annexe B</w:t>
      </w:r>
      <w:r w:rsidR="003262E1" w:rsidRPr="00BE1EBA">
        <w:t>­</w:t>
      </w:r>
      <w:r w:rsidR="00D07F21" w:rsidRPr="00BE1EBA">
        <w:t>1 ci</w:t>
      </w:r>
      <w:r w:rsidR="003262E1" w:rsidRPr="00BE1EBA">
        <w:t>­</w:t>
      </w:r>
      <w:r w:rsidR="00D07F21" w:rsidRPr="00BE1EBA">
        <w:t>jointe</w:t>
      </w:r>
    </w:p>
    <w:p w:rsidR="00D07F21" w:rsidRPr="00BE1EBA" w:rsidRDefault="00AC1452" w:rsidP="00D07F21">
      <w:r>
        <w:t>5</w:t>
      </w:r>
      <w:r w:rsidR="00D07F21" w:rsidRPr="00BE1EBA">
        <w:t>.2 Services liés à des produits</w:t>
      </w:r>
      <w:r w:rsidR="002A6210" w:rsidRPr="00BE1EBA">
        <w:t xml:space="preserve"> </w:t>
      </w:r>
    </w:p>
    <w:p w:rsidR="00D07F21" w:rsidRPr="00BE1EBA" w:rsidRDefault="00D07F21" w:rsidP="00D07F21">
      <w:r w:rsidRPr="00BE1EBA">
        <w:t>Se reporter à l</w:t>
      </w:r>
      <w:r w:rsidR="00812400" w:rsidRPr="00BE1EBA">
        <w:t>’</w:t>
      </w:r>
      <w:r w:rsidRPr="00BE1EBA">
        <w:t>Annexe A pour obtenir la définition complète des services.</w:t>
      </w:r>
    </w:p>
    <w:tbl>
      <w:tblPr>
        <w:tblW w:w="10590" w:type="dxa"/>
        <w:tblInd w:w="108" w:type="dxa"/>
        <w:tblLook w:val="04A0"/>
      </w:tblPr>
      <w:tblGrid>
        <w:gridCol w:w="665"/>
        <w:gridCol w:w="4546"/>
        <w:gridCol w:w="2268"/>
        <w:gridCol w:w="3111"/>
      </w:tblGrid>
      <w:tr w:rsidR="00D07F21" w:rsidRPr="00BE1EBA" w:rsidTr="00BA6C07">
        <w:tc>
          <w:tcPr>
            <w:tcW w:w="665" w:type="dxa"/>
            <w:tcBorders>
              <w:top w:val="single" w:sz="4" w:space="0" w:color="auto"/>
              <w:left w:val="single" w:sz="4" w:space="0" w:color="auto"/>
              <w:bottom w:val="single" w:sz="4" w:space="0" w:color="auto"/>
              <w:right w:val="single" w:sz="4" w:space="0" w:color="auto"/>
            </w:tcBorders>
          </w:tcPr>
          <w:p w:rsidR="00D07F21" w:rsidRPr="00BE1EBA" w:rsidRDefault="00D07F21" w:rsidP="00BA6C07">
            <w:pPr>
              <w:pStyle w:val="TableText"/>
            </w:pPr>
          </w:p>
        </w:tc>
        <w:tc>
          <w:tcPr>
            <w:tcW w:w="4546" w:type="dxa"/>
            <w:tcBorders>
              <w:top w:val="single" w:sz="4" w:space="0" w:color="auto"/>
              <w:left w:val="single" w:sz="4" w:space="0" w:color="auto"/>
              <w:bottom w:val="single" w:sz="4" w:space="0" w:color="auto"/>
              <w:right w:val="single" w:sz="4" w:space="0" w:color="auto"/>
            </w:tcBorders>
            <w:hideMark/>
          </w:tcPr>
          <w:p w:rsidR="00D07F21" w:rsidRPr="00BE1EBA" w:rsidRDefault="00D07F21" w:rsidP="00BA6C07">
            <w:pPr>
              <w:pStyle w:val="TableText"/>
              <w:rPr>
                <w:b/>
              </w:rPr>
            </w:pPr>
            <w:r w:rsidRPr="00BE1EBA">
              <w:rPr>
                <w:b/>
              </w:rPr>
              <w:t>Types de services liés à des produits</w:t>
            </w:r>
          </w:p>
        </w:tc>
        <w:tc>
          <w:tcPr>
            <w:tcW w:w="5379" w:type="dxa"/>
            <w:gridSpan w:val="2"/>
            <w:tcBorders>
              <w:top w:val="single" w:sz="4" w:space="0" w:color="auto"/>
              <w:left w:val="single" w:sz="4" w:space="0" w:color="auto"/>
              <w:bottom w:val="single" w:sz="4" w:space="0" w:color="auto"/>
              <w:right w:val="single" w:sz="4" w:space="0" w:color="auto"/>
            </w:tcBorders>
            <w:hideMark/>
          </w:tcPr>
          <w:p w:rsidR="00D07F21" w:rsidRPr="00BE1EBA" w:rsidRDefault="00D07F21" w:rsidP="00BA6C07">
            <w:pPr>
              <w:pStyle w:val="TableText"/>
              <w:rPr>
                <w:b/>
              </w:rPr>
            </w:pPr>
            <w:r w:rsidRPr="00BE1EBA">
              <w:rPr>
                <w:b/>
              </w:rPr>
              <w:t>Taux horaire maximum</w:t>
            </w:r>
          </w:p>
        </w:tc>
      </w:tr>
      <w:tr w:rsidR="00D07F21" w:rsidRPr="00BE1EBA" w:rsidTr="00BA6C07">
        <w:trPr>
          <w:trHeight w:val="706"/>
        </w:trPr>
        <w:tc>
          <w:tcPr>
            <w:tcW w:w="665" w:type="dxa"/>
            <w:tcBorders>
              <w:top w:val="single" w:sz="4" w:space="0" w:color="auto"/>
              <w:left w:val="single" w:sz="4" w:space="0" w:color="auto"/>
              <w:bottom w:val="single" w:sz="4" w:space="0" w:color="auto"/>
              <w:right w:val="single" w:sz="4" w:space="0" w:color="auto"/>
            </w:tcBorders>
          </w:tcPr>
          <w:p w:rsidR="00D07F21" w:rsidRPr="00BE1EBA" w:rsidRDefault="00D07F21" w:rsidP="00BA6C07">
            <w:pPr>
              <w:pStyle w:val="TableText"/>
            </w:pPr>
          </w:p>
        </w:tc>
        <w:tc>
          <w:tcPr>
            <w:tcW w:w="4546"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p>
        </w:tc>
        <w:tc>
          <w:tcPr>
            <w:tcW w:w="2268"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Pendant les heures normales de travail</w:t>
            </w:r>
          </w:p>
        </w:tc>
        <w:tc>
          <w:tcPr>
            <w:tcW w:w="3111"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En dehors des heures normales de travail</w:t>
            </w:r>
          </w:p>
        </w:tc>
      </w:tr>
      <w:tr w:rsidR="00D07F21" w:rsidRPr="00BE1EBA" w:rsidTr="00BA6C07">
        <w:trPr>
          <w:trHeight w:val="940"/>
        </w:trPr>
        <w:tc>
          <w:tcPr>
            <w:tcW w:w="665"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1</w:t>
            </w:r>
          </w:p>
        </w:tc>
        <w:tc>
          <w:tcPr>
            <w:tcW w:w="4546"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Services de réaménagement</w:t>
            </w:r>
          </w:p>
        </w:tc>
        <w:tc>
          <w:tcPr>
            <w:tcW w:w="2268"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________________ $</w:t>
            </w:r>
          </w:p>
        </w:tc>
        <w:tc>
          <w:tcPr>
            <w:tcW w:w="3111"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________________________ $</w:t>
            </w:r>
          </w:p>
        </w:tc>
      </w:tr>
      <w:tr w:rsidR="00D07F21" w:rsidRPr="00BE1EBA" w:rsidTr="00BA6C07">
        <w:trPr>
          <w:trHeight w:val="981"/>
        </w:trPr>
        <w:tc>
          <w:tcPr>
            <w:tcW w:w="665"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 xml:space="preserve">2. </w:t>
            </w:r>
          </w:p>
        </w:tc>
        <w:tc>
          <w:tcPr>
            <w:tcW w:w="9925" w:type="dxa"/>
            <w:gridSpan w:val="3"/>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Services d</w:t>
            </w:r>
            <w:r w:rsidR="00812400" w:rsidRPr="00BE1EBA">
              <w:t>’</w:t>
            </w:r>
            <w:r w:rsidRPr="00BE1EBA">
              <w:t>inventaire et d</w:t>
            </w:r>
            <w:r w:rsidR="00812400" w:rsidRPr="00BE1EBA">
              <w:t>’</w:t>
            </w:r>
            <w:r w:rsidRPr="00BE1EBA">
              <w:t>évaluation de l</w:t>
            </w:r>
            <w:r w:rsidR="00812400" w:rsidRPr="00BE1EBA">
              <w:t>’</w:t>
            </w:r>
            <w:r w:rsidRPr="00BE1EBA">
              <w:t>ameublement existant</w:t>
            </w:r>
          </w:p>
        </w:tc>
      </w:tr>
      <w:tr w:rsidR="00D07F21" w:rsidRPr="00BE1EBA" w:rsidTr="00BA6C07">
        <w:trPr>
          <w:trHeight w:val="840"/>
        </w:trPr>
        <w:tc>
          <w:tcPr>
            <w:tcW w:w="665"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2.1</w:t>
            </w:r>
          </w:p>
        </w:tc>
        <w:tc>
          <w:tcPr>
            <w:tcW w:w="4546"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Inventaire du mobilier existant et fourniture d</w:t>
            </w:r>
            <w:r w:rsidR="00812400" w:rsidRPr="00BE1EBA">
              <w:t>’</w:t>
            </w:r>
            <w:r w:rsidRPr="00BE1EBA">
              <w:t xml:space="preserve">un graphique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 $</w:t>
            </w:r>
          </w:p>
        </w:tc>
        <w:tc>
          <w:tcPr>
            <w:tcW w:w="3111"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________________________ $</w:t>
            </w:r>
          </w:p>
        </w:tc>
      </w:tr>
      <w:tr w:rsidR="00D07F21" w:rsidRPr="00BE1EBA" w:rsidTr="00BA6C07">
        <w:trPr>
          <w:trHeight w:val="1133"/>
        </w:trPr>
        <w:tc>
          <w:tcPr>
            <w:tcW w:w="665"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2.2</w:t>
            </w:r>
          </w:p>
        </w:tc>
        <w:tc>
          <w:tcPr>
            <w:tcW w:w="4546"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Évaluation des couleurs et des finitions existantes et présentation d</w:t>
            </w:r>
            <w:r w:rsidR="00812400" w:rsidRPr="00BE1EBA">
              <w:t>’</w:t>
            </w:r>
            <w:r w:rsidRPr="00BE1EBA">
              <w:t>un rapport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 $</w:t>
            </w:r>
          </w:p>
        </w:tc>
        <w:tc>
          <w:tcPr>
            <w:tcW w:w="3111"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________________________ $</w:t>
            </w:r>
          </w:p>
        </w:tc>
      </w:tr>
      <w:tr w:rsidR="00D07F21" w:rsidRPr="00BE1EBA" w:rsidTr="00BA6C07">
        <w:trPr>
          <w:trHeight w:val="872"/>
        </w:trPr>
        <w:tc>
          <w:tcPr>
            <w:tcW w:w="665"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2.3</w:t>
            </w:r>
          </w:p>
        </w:tc>
        <w:tc>
          <w:tcPr>
            <w:tcW w:w="4546"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Évaluation de l</w:t>
            </w:r>
            <w:r w:rsidR="00812400" w:rsidRPr="00BE1EBA">
              <w:t>’</w:t>
            </w:r>
            <w:r w:rsidRPr="00BE1EBA">
              <w:t>état du mobilier existant et présentation d</w:t>
            </w:r>
            <w:r w:rsidR="00812400" w:rsidRPr="00BE1EBA">
              <w:t>’</w:t>
            </w:r>
            <w:r w:rsidRPr="00BE1EBA">
              <w:t>un rapport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 $</w:t>
            </w:r>
          </w:p>
        </w:tc>
        <w:tc>
          <w:tcPr>
            <w:tcW w:w="3111"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________________________ $</w:t>
            </w:r>
          </w:p>
        </w:tc>
      </w:tr>
      <w:tr w:rsidR="00D07F21" w:rsidRPr="00BE1EBA" w:rsidTr="00BA6C07">
        <w:trPr>
          <w:trHeight w:val="1151"/>
        </w:trPr>
        <w:tc>
          <w:tcPr>
            <w:tcW w:w="665"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2.4</w:t>
            </w:r>
          </w:p>
        </w:tc>
        <w:tc>
          <w:tcPr>
            <w:tcW w:w="4546" w:type="dxa"/>
            <w:tcBorders>
              <w:top w:val="single" w:sz="4" w:space="0" w:color="auto"/>
              <w:left w:val="single" w:sz="4" w:space="0" w:color="auto"/>
              <w:bottom w:val="single" w:sz="4" w:space="0" w:color="auto"/>
              <w:right w:val="single" w:sz="4" w:space="0" w:color="auto"/>
            </w:tcBorders>
            <w:vAlign w:val="center"/>
          </w:tcPr>
          <w:p w:rsidR="00D07F21" w:rsidRPr="00BE1EBA" w:rsidRDefault="00D07F21" w:rsidP="00BA6C07">
            <w:pPr>
              <w:pStyle w:val="TableText"/>
            </w:pPr>
            <w:r w:rsidRPr="00BE1EBA">
              <w:t>Évaluation des systèmes électriques existants et présentation d</w:t>
            </w:r>
            <w:r w:rsidR="00812400" w:rsidRPr="00BE1EBA">
              <w:t>’</w:t>
            </w:r>
            <w:r w:rsidRPr="00BE1EBA">
              <w:t>un rapport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 $</w:t>
            </w:r>
          </w:p>
        </w:tc>
        <w:tc>
          <w:tcPr>
            <w:tcW w:w="3111" w:type="dxa"/>
            <w:tcBorders>
              <w:top w:val="single" w:sz="4" w:space="0" w:color="auto"/>
              <w:left w:val="single" w:sz="4" w:space="0" w:color="auto"/>
              <w:bottom w:val="single" w:sz="4" w:space="0" w:color="auto"/>
              <w:right w:val="single" w:sz="4" w:space="0" w:color="auto"/>
            </w:tcBorders>
            <w:vAlign w:val="center"/>
            <w:hideMark/>
          </w:tcPr>
          <w:p w:rsidR="00D07F21" w:rsidRPr="00BE1EBA" w:rsidRDefault="00D07F21" w:rsidP="00BA6C07">
            <w:pPr>
              <w:pStyle w:val="TableText"/>
            </w:pPr>
            <w:r w:rsidRPr="00BE1EBA">
              <w:t>________________________ $</w:t>
            </w:r>
          </w:p>
        </w:tc>
      </w:tr>
    </w:tbl>
    <w:p w:rsidR="00D07F21" w:rsidRPr="00BE1EBA" w:rsidRDefault="00D07F21" w:rsidP="00D07F21"/>
    <w:p w:rsidR="00D07F21" w:rsidRPr="00BE1EBA" w:rsidRDefault="006D3CB4" w:rsidP="00D07F21">
      <w:r w:rsidRPr="00BE1EBA">
        <w:br w:type="page"/>
      </w:r>
    </w:p>
    <w:p w:rsidR="00D07F21" w:rsidRPr="00BE1EBA" w:rsidRDefault="00D07F21" w:rsidP="00D07F21">
      <w:pPr>
        <w:sectPr w:rsidR="00D07F21" w:rsidRPr="00BE1EBA" w:rsidSect="00BA6C07">
          <w:footerReference w:type="default" r:id="rId20"/>
          <w:pgSz w:w="12240" w:h="15840"/>
          <w:pgMar w:top="1440" w:right="1440" w:bottom="1440" w:left="1440" w:header="709" w:footer="0" w:gutter="0"/>
          <w:cols w:space="708"/>
          <w:docGrid w:linePitch="360"/>
        </w:sectPr>
      </w:pPr>
    </w:p>
    <w:p w:rsidR="00D07F21" w:rsidRPr="00BE1EBA" w:rsidRDefault="00D07F21" w:rsidP="00467857">
      <w:pPr>
        <w:pStyle w:val="ModlesEn-tte1"/>
      </w:pPr>
      <w:bookmarkStart w:id="125" w:name="_Toc413070296"/>
      <w:r w:rsidRPr="00BE1EBA">
        <w:lastRenderedPageBreak/>
        <w:t>Annexe B</w:t>
      </w:r>
      <w:r w:rsidR="003262E1" w:rsidRPr="00BE1EBA">
        <w:t>­</w:t>
      </w:r>
      <w:r w:rsidRPr="00BE1EBA">
        <w:t>1</w:t>
      </w:r>
      <w:bookmarkEnd w:id="125"/>
    </w:p>
    <w:p w:rsidR="00D07F21" w:rsidRPr="00BE1EBA" w:rsidRDefault="00D07F21" w:rsidP="00D07F21">
      <w:pPr>
        <w:jc w:val="center"/>
      </w:pPr>
      <w:r w:rsidRPr="00BE1EBA">
        <w:t xml:space="preserve">Fournir à titre de pièce jointe indépendante et intitulée « Annexe </w:t>
      </w:r>
      <w:r w:rsidR="00000822" w:rsidRPr="00691A12">
        <w:t xml:space="preserve">B-1 </w:t>
      </w:r>
      <w:proofErr w:type="spellStart"/>
      <w:r w:rsidR="00000822" w:rsidRPr="00691A12">
        <w:t>Category</w:t>
      </w:r>
      <w:proofErr w:type="spellEnd"/>
      <w:r w:rsidR="00000822" w:rsidRPr="00691A12">
        <w:t xml:space="preserve"> – Catégorie __(#)</w:t>
      </w:r>
      <w:r w:rsidRPr="00691A12">
        <w:t>».</w:t>
      </w:r>
    </w:p>
    <w:p w:rsidR="00D07F21" w:rsidRPr="00BE1EBA" w:rsidRDefault="00D07F21" w:rsidP="00D07F21">
      <w:pPr>
        <w:pStyle w:val="Heading3"/>
        <w:keepNext w:val="0"/>
        <w:keepLines w:val="0"/>
        <w:numPr>
          <w:ilvl w:val="0"/>
          <w:numId w:val="2"/>
        </w:numPr>
        <w:tabs>
          <w:tab w:val="left" w:pos="567"/>
        </w:tabs>
        <w:overflowPunct w:val="0"/>
        <w:autoSpaceDE w:val="0"/>
        <w:autoSpaceDN w:val="0"/>
        <w:adjustRightInd w:val="0"/>
        <w:spacing w:before="120"/>
        <w:ind w:left="284" w:hanging="284"/>
        <w:textAlignment w:val="baseline"/>
        <w:sectPr w:rsidR="00D07F21" w:rsidRPr="00BE1EBA" w:rsidSect="00BA6C07">
          <w:footerReference w:type="default" r:id="rId21"/>
          <w:pgSz w:w="12240" w:h="15840"/>
          <w:pgMar w:top="1440" w:right="1440" w:bottom="1440" w:left="1440" w:header="709" w:footer="0" w:gutter="0"/>
          <w:cols w:space="708"/>
          <w:docGrid w:linePitch="360"/>
        </w:sectPr>
      </w:pPr>
    </w:p>
    <w:p w:rsidR="00D07F21" w:rsidRPr="00232778" w:rsidRDefault="00D07F21" w:rsidP="00232778">
      <w:pPr>
        <w:pStyle w:val="ModlesEn-tte3"/>
      </w:pPr>
      <w:bookmarkStart w:id="126" w:name="_Toc413070297"/>
      <w:r w:rsidRPr="007A7365">
        <w:rPr>
          <w:rStyle w:val="ModlesEn-tte1Char"/>
        </w:rPr>
        <w:lastRenderedPageBreak/>
        <w:t>Annexe C</w:t>
      </w:r>
      <w:bookmarkEnd w:id="126"/>
      <w:r w:rsidRPr="00232778">
        <w:t> – Arrangements en matière d</w:t>
      </w:r>
      <w:r w:rsidR="00812400" w:rsidRPr="00232778">
        <w:t>’</w:t>
      </w:r>
      <w:r w:rsidRPr="00232778">
        <w:t>approvisionnement – établissement de rapports</w:t>
      </w:r>
    </w:p>
    <w:p w:rsidR="00D07F21" w:rsidRPr="00BE1EBA" w:rsidRDefault="00D07F21" w:rsidP="00B97D4E">
      <w:pPr>
        <w:pStyle w:val="ModlesEn-tte3"/>
        <w:ind w:left="0" w:firstLine="0"/>
      </w:pPr>
      <w:bookmarkStart w:id="127" w:name="_Toc412634880"/>
      <w:r w:rsidRPr="00BE1EBA">
        <w:t xml:space="preserve">Ce tableau en format </w:t>
      </w:r>
      <w:r w:rsidRPr="00BE1EBA">
        <w:rPr>
          <w:i/>
        </w:rPr>
        <w:t>Excel</w:t>
      </w:r>
      <w:r w:rsidRPr="00BE1EBA">
        <w:t xml:space="preserve"> sera remis à tous les titulaires d</w:t>
      </w:r>
      <w:r w:rsidR="00812400" w:rsidRPr="00BE1EBA">
        <w:t>’</w:t>
      </w:r>
      <w:r w:rsidRPr="00BE1EBA">
        <w:t>AMA au moment de l</w:t>
      </w:r>
      <w:r w:rsidR="00812400" w:rsidRPr="00BE1EBA">
        <w:t>’</w:t>
      </w:r>
      <w:r w:rsidRPr="00BE1EBA">
        <w:t>attribution de l</w:t>
      </w:r>
      <w:r w:rsidR="00812400" w:rsidRPr="00BE1EBA">
        <w:t>’</w:t>
      </w:r>
      <w:r w:rsidRPr="00BE1EBA">
        <w:t>AMA. (Cet énoncé sera supprimé une fois l</w:t>
      </w:r>
      <w:r w:rsidR="00812400" w:rsidRPr="00BE1EBA">
        <w:t>’</w:t>
      </w:r>
      <w:r w:rsidRPr="00BE1EBA">
        <w:t>AMA attribué)</w:t>
      </w:r>
      <w:bookmarkEnd w:id="127"/>
    </w:p>
    <w:tbl>
      <w:tblPr>
        <w:tblW w:w="14193" w:type="dxa"/>
        <w:tblInd w:w="-743" w:type="dxa"/>
        <w:tblLook w:val="04A0"/>
      </w:tblPr>
      <w:tblGrid>
        <w:gridCol w:w="3379"/>
        <w:gridCol w:w="2441"/>
        <w:gridCol w:w="1977"/>
        <w:gridCol w:w="1843"/>
        <w:gridCol w:w="3118"/>
        <w:gridCol w:w="1435"/>
      </w:tblGrid>
      <w:tr w:rsidR="00D07F21" w:rsidRPr="00ED7F87" w:rsidTr="00BA6C07">
        <w:trPr>
          <w:trHeight w:val="2955"/>
        </w:trPr>
        <w:tc>
          <w:tcPr>
            <w:tcW w:w="14193" w:type="dxa"/>
            <w:gridSpan w:val="6"/>
            <w:tcBorders>
              <w:top w:val="single" w:sz="8" w:space="0" w:color="auto"/>
              <w:left w:val="single" w:sz="8" w:space="0" w:color="auto"/>
              <w:bottom w:val="single" w:sz="8" w:space="0" w:color="auto"/>
              <w:right w:val="single" w:sz="4" w:space="0" w:color="000000"/>
            </w:tcBorders>
            <w:shd w:val="clear" w:color="auto" w:fill="auto"/>
            <w:vAlign w:val="center"/>
            <w:hideMark/>
          </w:tcPr>
          <w:p w:rsidR="00D07F21" w:rsidRPr="00BE1EBA" w:rsidRDefault="00D07F21" w:rsidP="00BA6C07">
            <w:pPr>
              <w:rPr>
                <w:b/>
                <w:bCs/>
              </w:rPr>
            </w:pPr>
            <w:r w:rsidRPr="00BE1EBA">
              <w:rPr>
                <w:b/>
              </w:rPr>
              <w:t>FORMULAIRE DE RAPPORT NORMALISÉ POUR L</w:t>
            </w:r>
            <w:r w:rsidR="00812400" w:rsidRPr="00BE1EBA">
              <w:rPr>
                <w:b/>
              </w:rPr>
              <w:t>’</w:t>
            </w:r>
            <w:r w:rsidRPr="00BE1EBA">
              <w:rPr>
                <w:b/>
              </w:rPr>
              <w:t>ARRANGEMENT EN MATIÈRE D</w:t>
            </w:r>
            <w:r w:rsidR="00812400" w:rsidRPr="00BE1EBA">
              <w:rPr>
                <w:b/>
              </w:rPr>
              <w:t>’</w:t>
            </w:r>
            <w:r w:rsidRPr="00BE1EBA">
              <w:rPr>
                <w:b/>
              </w:rPr>
              <w:t xml:space="preserve">APPROVISIONNEMENT – </w:t>
            </w:r>
            <w:r w:rsidR="00A77994" w:rsidRPr="00BE1EBA">
              <w:rPr>
                <w:b/>
              </w:rPr>
              <w:t>POSTES DE TRAVAIL</w:t>
            </w:r>
            <w:r w:rsidRPr="00BE1EBA">
              <w:rPr>
                <w:b/>
                <w:bCs/>
              </w:rPr>
              <w:br/>
            </w:r>
            <w:r w:rsidRPr="00BE1EBA">
              <w:t>LES RAPPORTS TRIMESTRIELS DOIVENT ÊTRE REMIS AU PLUS TARD 15 JOURS APRÈS LA FIN DE CHAQUE PÉRIODE À :</w:t>
            </w:r>
            <w:r w:rsidRPr="00BE1EBA">
              <w:rPr>
                <w:b/>
                <w:bCs/>
              </w:rPr>
              <w:br/>
            </w:r>
            <w:r w:rsidRPr="00BE1EBA">
              <w:t>Adjoint principal des achats (responsable de la facturation)</w:t>
            </w:r>
            <w:r w:rsidRPr="00BE1EBA">
              <w:rPr>
                <w:b/>
                <w:bCs/>
              </w:rPr>
              <w:br/>
            </w:r>
            <w:r w:rsidRPr="00BE1EBA">
              <w:t xml:space="preserve">Adresse de courriel : </w:t>
            </w:r>
            <w:hyperlink r:id="rId22">
              <w:r w:rsidRPr="00BE1EBA">
                <w:rPr>
                  <w:rStyle w:val="Hyperlink"/>
                </w:rPr>
                <w:t>ncrfurniture.rcnameublement@tpsgc</w:t>
              </w:r>
              <w:r w:rsidR="003262E1" w:rsidRPr="00BE1EBA">
                <w:rPr>
                  <w:rStyle w:val="Hyperlink"/>
                </w:rPr>
                <w:t>­</w:t>
              </w:r>
              <w:r w:rsidRPr="00BE1EBA">
                <w:rPr>
                  <w:rStyle w:val="Hyperlink"/>
                </w:rPr>
                <w:t>pwgsc.gc.ca</w:t>
              </w:r>
            </w:hyperlink>
            <w:r w:rsidRPr="00BE1EBA">
              <w:rPr>
                <w:b/>
              </w:rPr>
              <w:t xml:space="preserve"> </w:t>
            </w:r>
            <w:r w:rsidRPr="00BE1EBA">
              <w:rPr>
                <w:b/>
                <w:bCs/>
              </w:rPr>
              <w:br/>
            </w:r>
          </w:p>
          <w:p w:rsidR="00D07F21" w:rsidRPr="00BE1EBA" w:rsidRDefault="00D07F21" w:rsidP="00BA6C07">
            <w:pPr>
              <w:rPr>
                <w:b/>
                <w:bCs/>
                <w:lang w:val="en-CA"/>
              </w:rPr>
            </w:pPr>
            <w:r w:rsidRPr="00BE1EBA">
              <w:rPr>
                <w:b/>
                <w:lang w:val="en-CA"/>
              </w:rPr>
              <w:t>STANDARD REPORTING FORM FOR SUPPLY ARRANGEMENT</w:t>
            </w:r>
            <w:r w:rsidR="002A6210" w:rsidRPr="00BE1EBA">
              <w:rPr>
                <w:b/>
                <w:lang w:val="en-CA"/>
              </w:rPr>
              <w:t xml:space="preserve"> – </w:t>
            </w:r>
            <w:r w:rsidRPr="00BE1EBA">
              <w:rPr>
                <w:b/>
                <w:lang w:val="en-CA"/>
              </w:rPr>
              <w:t xml:space="preserve">WORK SPACES </w:t>
            </w:r>
            <w:r w:rsidRPr="00BE1EBA">
              <w:rPr>
                <w:b/>
                <w:bCs/>
                <w:lang w:val="en-CA"/>
              </w:rPr>
              <w:br/>
            </w:r>
            <w:r w:rsidRPr="00BE1EBA">
              <w:rPr>
                <w:lang w:val="en-CA"/>
              </w:rPr>
              <w:t>QUARTERLY REPORTS MUST BE SUBMITTED NO LATER THAN 15 CALENDAR DAYS AFTER THE END OF THE REPORTING PERIOD TO :</w:t>
            </w:r>
            <w:r w:rsidR="002A6210" w:rsidRPr="00BE1EBA">
              <w:rPr>
                <w:lang w:val="en-CA"/>
              </w:rPr>
              <w:t xml:space="preserve"> </w:t>
            </w:r>
            <w:r w:rsidRPr="00BE1EBA">
              <w:rPr>
                <w:b/>
                <w:bCs/>
                <w:lang w:val="en-CA"/>
              </w:rPr>
              <w:br/>
            </w:r>
            <w:r w:rsidRPr="00BE1EBA">
              <w:rPr>
                <w:lang w:val="en-CA"/>
              </w:rPr>
              <w:t>Attention: Senior Purchasing Assistant (AB Invoice Authority)</w:t>
            </w:r>
            <w:r w:rsidRPr="00BE1EBA">
              <w:rPr>
                <w:lang w:val="en-CA"/>
              </w:rPr>
              <w:br/>
              <w:t>E</w:t>
            </w:r>
            <w:r w:rsidR="003262E1" w:rsidRPr="00BE1EBA">
              <w:rPr>
                <w:lang w:val="en-CA"/>
              </w:rPr>
              <w:t>­</w:t>
            </w:r>
            <w:r w:rsidRPr="00BE1EBA">
              <w:rPr>
                <w:lang w:val="en-CA"/>
              </w:rPr>
              <w:t xml:space="preserve">mail : </w:t>
            </w:r>
            <w:hyperlink r:id="rId23">
              <w:r w:rsidRPr="00BE1EBA">
                <w:rPr>
                  <w:rStyle w:val="Hyperlink"/>
                  <w:lang w:val="en-CA"/>
                </w:rPr>
                <w:t>ncrfurniture.rcnameublement@tpsgc</w:t>
              </w:r>
              <w:r w:rsidR="003262E1" w:rsidRPr="00BE1EBA">
                <w:rPr>
                  <w:rStyle w:val="Hyperlink"/>
                  <w:lang w:val="en-CA"/>
                </w:rPr>
                <w:t>­</w:t>
              </w:r>
              <w:r w:rsidRPr="00BE1EBA">
                <w:rPr>
                  <w:rStyle w:val="Hyperlink"/>
                  <w:lang w:val="en-CA"/>
                </w:rPr>
                <w:t>pwgsc.gc.ca</w:t>
              </w:r>
            </w:hyperlink>
          </w:p>
        </w:tc>
      </w:tr>
      <w:tr w:rsidR="00D07F21" w:rsidRPr="00ED7F87" w:rsidTr="00BA6C07">
        <w:trPr>
          <w:trHeight w:val="675"/>
        </w:trPr>
        <w:tc>
          <w:tcPr>
            <w:tcW w:w="3379" w:type="dxa"/>
            <w:tcBorders>
              <w:top w:val="nil"/>
              <w:left w:val="single" w:sz="8" w:space="0" w:color="auto"/>
              <w:bottom w:val="single" w:sz="8" w:space="0" w:color="auto"/>
              <w:right w:val="single" w:sz="8" w:space="0" w:color="auto"/>
            </w:tcBorders>
            <w:shd w:val="clear" w:color="000000" w:fill="D8D8D8"/>
            <w:vAlign w:val="center"/>
            <w:hideMark/>
          </w:tcPr>
          <w:p w:rsidR="00D07F21" w:rsidRPr="00BE1EBA" w:rsidRDefault="00D07F21" w:rsidP="00BA6C07">
            <w:pPr>
              <w:pStyle w:val="TableText"/>
            </w:pPr>
            <w:r w:rsidRPr="00BE1EBA">
              <w:t>NUMÉRO DE L</w:t>
            </w:r>
            <w:r w:rsidR="00812400" w:rsidRPr="00BE1EBA">
              <w:t>’</w:t>
            </w:r>
            <w:r w:rsidRPr="00BE1EBA">
              <w:t>ARRANGEMENT</w:t>
            </w:r>
            <w:r w:rsidRPr="00BE1EBA">
              <w:br/>
              <w:t xml:space="preserve">SUPPLY ARRANGEMENT NUMBER </w:t>
            </w:r>
          </w:p>
        </w:tc>
        <w:tc>
          <w:tcPr>
            <w:tcW w:w="2441" w:type="dxa"/>
            <w:tcBorders>
              <w:top w:val="nil"/>
              <w:left w:val="nil"/>
              <w:bottom w:val="single" w:sz="8" w:space="0" w:color="auto"/>
              <w:right w:val="nil"/>
            </w:tcBorders>
            <w:shd w:val="clear" w:color="auto" w:fill="auto"/>
            <w:vAlign w:val="center"/>
            <w:hideMark/>
          </w:tcPr>
          <w:p w:rsidR="00D07F21" w:rsidRPr="00BE1EBA" w:rsidRDefault="00D07F21" w:rsidP="00BA6C07">
            <w:pPr>
              <w:pStyle w:val="TableText"/>
            </w:pPr>
            <w:bookmarkStart w:id="128" w:name="RANGE!B3"/>
            <w:r w:rsidRPr="00BE1EBA">
              <w:t xml:space="preserve"> E60PQ</w:t>
            </w:r>
            <w:r w:rsidR="003262E1" w:rsidRPr="00BE1EBA">
              <w:t>­</w:t>
            </w:r>
            <w:r w:rsidRPr="00BE1EBA">
              <w:t xml:space="preserve">140003/00_/PQ </w:t>
            </w:r>
            <w:bookmarkEnd w:id="128"/>
          </w:p>
        </w:tc>
        <w:tc>
          <w:tcPr>
            <w:tcW w:w="3820" w:type="dxa"/>
            <w:gridSpan w:val="2"/>
            <w:tcBorders>
              <w:top w:val="nil"/>
              <w:left w:val="single" w:sz="8" w:space="0" w:color="auto"/>
              <w:bottom w:val="single" w:sz="8" w:space="0" w:color="auto"/>
              <w:right w:val="single" w:sz="8" w:space="0" w:color="auto"/>
            </w:tcBorders>
            <w:shd w:val="clear" w:color="000000" w:fill="D8D8D8"/>
            <w:vAlign w:val="center"/>
            <w:hideMark/>
          </w:tcPr>
          <w:p w:rsidR="00D07F21" w:rsidRPr="00BE1EBA" w:rsidRDefault="00D07F21" w:rsidP="00BA6C07">
            <w:pPr>
              <w:pStyle w:val="TableText"/>
              <w:jc w:val="center"/>
            </w:pPr>
            <w:r w:rsidRPr="00BE1EBA">
              <w:t>PÉRIODE</w:t>
            </w:r>
            <w:r w:rsidRPr="00BE1EBA">
              <w:br/>
              <w:t>PERIOD</w:t>
            </w:r>
          </w:p>
        </w:tc>
        <w:tc>
          <w:tcPr>
            <w:tcW w:w="4553" w:type="dxa"/>
            <w:gridSpan w:val="2"/>
            <w:tcBorders>
              <w:top w:val="single" w:sz="8" w:space="0" w:color="auto"/>
              <w:left w:val="nil"/>
              <w:bottom w:val="single" w:sz="8" w:space="0" w:color="auto"/>
              <w:right w:val="single" w:sz="4" w:space="0" w:color="auto"/>
            </w:tcBorders>
            <w:shd w:val="clear" w:color="auto" w:fill="auto"/>
            <w:vAlign w:val="center"/>
            <w:hideMark/>
          </w:tcPr>
          <w:p w:rsidR="00D07F21" w:rsidRPr="00BE1EBA" w:rsidRDefault="00D07F21" w:rsidP="00BA6C07">
            <w:pPr>
              <w:pStyle w:val="TableText"/>
              <w:rPr>
                <w:lang w:val="en-CA"/>
              </w:rPr>
            </w:pPr>
            <w:bookmarkStart w:id="129" w:name="RANGE!E3"/>
            <w:r w:rsidRPr="00BE1EBA">
              <w:rPr>
                <w:lang w:val="en-CA"/>
              </w:rPr>
              <w:t xml:space="preserve">Sélectionnez une période – </w:t>
            </w:r>
          </w:p>
          <w:p w:rsidR="00D07F21" w:rsidRPr="00BE1EBA" w:rsidRDefault="00D07F21" w:rsidP="00BA6C07">
            <w:pPr>
              <w:pStyle w:val="TableText"/>
              <w:rPr>
                <w:lang w:val="en-CA"/>
              </w:rPr>
            </w:pPr>
            <w:r w:rsidRPr="00BE1EBA">
              <w:rPr>
                <w:lang w:val="en-CA"/>
              </w:rPr>
              <w:t>Select period from pull down list</w:t>
            </w:r>
            <w:bookmarkEnd w:id="129"/>
          </w:p>
        </w:tc>
      </w:tr>
      <w:tr w:rsidR="00D07F21" w:rsidRPr="00BE1EBA" w:rsidTr="00BA6C07">
        <w:trPr>
          <w:trHeight w:val="632"/>
        </w:trPr>
        <w:tc>
          <w:tcPr>
            <w:tcW w:w="3379" w:type="dxa"/>
            <w:tcBorders>
              <w:top w:val="nil"/>
              <w:left w:val="single" w:sz="8" w:space="0" w:color="auto"/>
              <w:bottom w:val="single" w:sz="8" w:space="0" w:color="auto"/>
              <w:right w:val="single" w:sz="4" w:space="0" w:color="auto"/>
            </w:tcBorders>
            <w:shd w:val="clear" w:color="000000" w:fill="D8D8D8"/>
            <w:vAlign w:val="center"/>
            <w:hideMark/>
          </w:tcPr>
          <w:p w:rsidR="00D07F21" w:rsidRPr="00BE1EBA" w:rsidRDefault="00D07F21" w:rsidP="00BA6C07">
            <w:pPr>
              <w:pStyle w:val="TableText"/>
            </w:pPr>
            <w:r w:rsidRPr="00BE1EBA">
              <w:t xml:space="preserve">NOM DU FOURNISSEUR </w:t>
            </w:r>
            <w:r w:rsidRPr="00BE1EBA">
              <w:br/>
              <w:t xml:space="preserve">SUPPLIER NAME </w:t>
            </w:r>
          </w:p>
        </w:tc>
        <w:tc>
          <w:tcPr>
            <w:tcW w:w="2441" w:type="dxa"/>
            <w:tcBorders>
              <w:top w:val="nil"/>
              <w:left w:val="nil"/>
              <w:bottom w:val="single" w:sz="8" w:space="0" w:color="auto"/>
              <w:right w:val="nil"/>
            </w:tcBorders>
            <w:shd w:val="clear" w:color="auto" w:fill="auto"/>
            <w:vAlign w:val="center"/>
            <w:hideMark/>
          </w:tcPr>
          <w:p w:rsidR="00D07F21" w:rsidRPr="00BE1EBA" w:rsidRDefault="00D07F21" w:rsidP="00BA6C07">
            <w:r w:rsidRPr="00BE1EBA">
              <w:t xml:space="preserve"> ____________________ </w:t>
            </w:r>
          </w:p>
        </w:tc>
        <w:tc>
          <w:tcPr>
            <w:tcW w:w="38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07F21" w:rsidRPr="00BE1EBA" w:rsidRDefault="00D07F21" w:rsidP="00BA6C07">
            <w:pPr>
              <w:pStyle w:val="TableText"/>
              <w:jc w:val="center"/>
            </w:pPr>
            <w:r w:rsidRPr="00BE1EBA">
              <w:t>TOTAL POUR CETTE PÉRIODE</w:t>
            </w:r>
            <w:r w:rsidRPr="00BE1EBA">
              <w:br/>
              <w:t>TOTAL FOR THIS PERIOD</w:t>
            </w:r>
          </w:p>
        </w:tc>
        <w:tc>
          <w:tcPr>
            <w:tcW w:w="3118" w:type="dxa"/>
            <w:tcBorders>
              <w:top w:val="nil"/>
              <w:left w:val="nil"/>
              <w:bottom w:val="single" w:sz="8" w:space="0" w:color="auto"/>
              <w:right w:val="single" w:sz="4" w:space="0" w:color="auto"/>
            </w:tcBorders>
            <w:shd w:val="clear" w:color="auto" w:fill="auto"/>
            <w:vAlign w:val="center"/>
            <w:hideMark/>
          </w:tcPr>
          <w:p w:rsidR="00D07F21" w:rsidRPr="00BE1EBA" w:rsidRDefault="00D07F21" w:rsidP="00BA6C07">
            <w:pPr>
              <w:pStyle w:val="TableText"/>
              <w:jc w:val="center"/>
            </w:pPr>
            <w:r w:rsidRPr="00BE1EBA">
              <w:t>CATÉGORIES À IDENTIFIER</w:t>
            </w:r>
            <w:r w:rsidRPr="00BE1EBA">
              <w:br/>
              <w:t>CATEGORIES TO IDENTIFIED</w:t>
            </w:r>
          </w:p>
        </w:tc>
        <w:tc>
          <w:tcPr>
            <w:tcW w:w="1435" w:type="dxa"/>
            <w:tcBorders>
              <w:top w:val="nil"/>
              <w:left w:val="single" w:sz="8" w:space="0" w:color="auto"/>
              <w:bottom w:val="single" w:sz="8" w:space="0" w:color="auto"/>
              <w:right w:val="single" w:sz="4" w:space="0" w:color="auto"/>
            </w:tcBorders>
            <w:shd w:val="clear" w:color="auto" w:fill="auto"/>
            <w:vAlign w:val="center"/>
            <w:hideMark/>
          </w:tcPr>
          <w:p w:rsidR="00D07F21" w:rsidRPr="00BE1EBA" w:rsidRDefault="006D3CB4" w:rsidP="00BA6C07">
            <w:pPr>
              <w:pStyle w:val="TableText"/>
            </w:pPr>
            <w:r w:rsidRPr="00BE1EBA">
              <w:t xml:space="preserve"> </w:t>
            </w:r>
          </w:p>
        </w:tc>
      </w:tr>
      <w:tr w:rsidR="00D07F21" w:rsidRPr="00BE1EBA" w:rsidTr="00BA6C07">
        <w:trPr>
          <w:trHeight w:val="645"/>
        </w:trPr>
        <w:tc>
          <w:tcPr>
            <w:tcW w:w="3379" w:type="dxa"/>
            <w:tcBorders>
              <w:top w:val="nil"/>
              <w:left w:val="single" w:sz="8" w:space="0" w:color="auto"/>
              <w:bottom w:val="nil"/>
              <w:right w:val="single" w:sz="4" w:space="0" w:color="auto"/>
            </w:tcBorders>
            <w:shd w:val="clear" w:color="000000" w:fill="D8D8D8"/>
            <w:vAlign w:val="center"/>
            <w:hideMark/>
          </w:tcPr>
          <w:p w:rsidR="00D07F21" w:rsidRPr="00BE1EBA" w:rsidRDefault="00D07F21" w:rsidP="00BA6C07">
            <w:pPr>
              <w:pStyle w:val="TableText"/>
            </w:pPr>
            <w:r w:rsidRPr="00BE1EBA">
              <w:t>Organisation de l</w:t>
            </w:r>
            <w:r w:rsidR="00812400" w:rsidRPr="00BE1EBA">
              <w:t>’</w:t>
            </w:r>
            <w:r w:rsidRPr="00BE1EBA">
              <w:t>utilisateur désigné/Identified User Organization</w:t>
            </w:r>
          </w:p>
          <w:p w:rsidR="00D07F21" w:rsidRPr="00BE1EBA" w:rsidRDefault="00D07F21" w:rsidP="00BA6C07">
            <w:pPr>
              <w:pStyle w:val="TableText"/>
            </w:pPr>
            <w:r w:rsidRPr="00BE1EBA">
              <w:t>______________________</w:t>
            </w:r>
          </w:p>
        </w:tc>
        <w:tc>
          <w:tcPr>
            <w:tcW w:w="2441" w:type="dxa"/>
            <w:tcBorders>
              <w:top w:val="nil"/>
              <w:left w:val="nil"/>
              <w:bottom w:val="nil"/>
              <w:right w:val="single" w:sz="4" w:space="0" w:color="auto"/>
            </w:tcBorders>
            <w:shd w:val="clear" w:color="000000" w:fill="C0C0C0"/>
            <w:vAlign w:val="center"/>
            <w:hideMark/>
          </w:tcPr>
          <w:p w:rsidR="00D07F21" w:rsidRPr="00BE1EBA" w:rsidRDefault="00D07F21" w:rsidP="00BA6C07">
            <w:pPr>
              <w:pStyle w:val="TableText"/>
            </w:pPr>
            <w:r w:rsidRPr="00BE1EBA">
              <w:t># de Facture</w:t>
            </w:r>
            <w:r w:rsidRPr="00BE1EBA">
              <w:br/>
              <w:t>Invoice number</w:t>
            </w:r>
          </w:p>
        </w:tc>
        <w:tc>
          <w:tcPr>
            <w:tcW w:w="1977" w:type="dxa"/>
            <w:tcBorders>
              <w:top w:val="nil"/>
              <w:left w:val="nil"/>
              <w:bottom w:val="nil"/>
              <w:right w:val="single" w:sz="4" w:space="0" w:color="auto"/>
            </w:tcBorders>
            <w:shd w:val="clear" w:color="000000" w:fill="D8D8D8"/>
            <w:vAlign w:val="center"/>
            <w:hideMark/>
          </w:tcPr>
          <w:p w:rsidR="00D07F21" w:rsidRPr="00BE1EBA" w:rsidRDefault="00D07F21" w:rsidP="00BA6C07">
            <w:pPr>
              <w:pStyle w:val="TableText"/>
            </w:pPr>
            <w:r w:rsidRPr="00BE1EBA">
              <w:t>Numéro du Contrat</w:t>
            </w:r>
            <w:r w:rsidRPr="00BE1EBA">
              <w:br/>
              <w:t>Contract Number</w:t>
            </w:r>
          </w:p>
        </w:tc>
        <w:tc>
          <w:tcPr>
            <w:tcW w:w="1843" w:type="dxa"/>
            <w:tcBorders>
              <w:top w:val="nil"/>
              <w:left w:val="nil"/>
              <w:bottom w:val="nil"/>
              <w:right w:val="single" w:sz="4" w:space="0" w:color="auto"/>
            </w:tcBorders>
            <w:shd w:val="clear" w:color="000000" w:fill="C0C0C0"/>
            <w:vAlign w:val="center"/>
            <w:hideMark/>
          </w:tcPr>
          <w:p w:rsidR="00D07F21" w:rsidRPr="00BE1EBA" w:rsidRDefault="00D07F21" w:rsidP="00BA6C07">
            <w:pPr>
              <w:pStyle w:val="TableText"/>
            </w:pPr>
            <w:r w:rsidRPr="00BE1EBA">
              <w:t>Prix Total du Contrat</w:t>
            </w:r>
            <w:r w:rsidRPr="00BE1EBA">
              <w:br/>
              <w:t>Total Contract Price</w:t>
            </w:r>
          </w:p>
        </w:tc>
        <w:tc>
          <w:tcPr>
            <w:tcW w:w="3118" w:type="dxa"/>
            <w:tcBorders>
              <w:top w:val="nil"/>
              <w:left w:val="nil"/>
              <w:bottom w:val="nil"/>
              <w:right w:val="single" w:sz="4" w:space="0" w:color="auto"/>
            </w:tcBorders>
            <w:shd w:val="clear" w:color="000000" w:fill="BFBFBF"/>
            <w:vAlign w:val="center"/>
            <w:hideMark/>
          </w:tcPr>
          <w:p w:rsidR="00D07F21" w:rsidRPr="00BE1EBA" w:rsidRDefault="00D07F21" w:rsidP="00BA6C07">
            <w:pPr>
              <w:pStyle w:val="TableText"/>
              <w:rPr>
                <w:lang w:val="en-CA"/>
              </w:rPr>
            </w:pPr>
            <w:r w:rsidRPr="00BE1EBA">
              <w:rPr>
                <w:lang w:val="en-CA"/>
              </w:rPr>
              <w:t>Produit(s)</w:t>
            </w:r>
            <w:r w:rsidR="002A6210" w:rsidRPr="00BE1EBA">
              <w:rPr>
                <w:lang w:val="en-CA"/>
              </w:rPr>
              <w:t xml:space="preserve"> – </w:t>
            </w:r>
            <w:r w:rsidRPr="00BE1EBA">
              <w:rPr>
                <w:lang w:val="en-CA"/>
              </w:rPr>
              <w:t>Product(s)</w:t>
            </w:r>
            <w:r w:rsidRPr="00BE1EBA">
              <w:rPr>
                <w:lang w:val="en-CA"/>
              </w:rPr>
              <w:br/>
              <w:t>1, 2, 3, 4 ou 5/1 and/or 2 and/or 3 and/or 4 and/or 5</w:t>
            </w:r>
          </w:p>
        </w:tc>
        <w:tc>
          <w:tcPr>
            <w:tcW w:w="1435" w:type="dxa"/>
            <w:tcBorders>
              <w:top w:val="nil"/>
              <w:left w:val="nil"/>
              <w:bottom w:val="nil"/>
              <w:right w:val="single" w:sz="4" w:space="0" w:color="auto"/>
            </w:tcBorders>
            <w:shd w:val="clear" w:color="000000" w:fill="BFBFBF"/>
            <w:vAlign w:val="center"/>
            <w:hideMark/>
          </w:tcPr>
          <w:p w:rsidR="00D07F21" w:rsidRPr="00BE1EBA" w:rsidRDefault="00D07F21" w:rsidP="00BA6C07">
            <w:pPr>
              <w:pStyle w:val="TableText"/>
            </w:pPr>
            <w:r w:rsidRPr="00BE1EBA">
              <w:t>Code postal</w:t>
            </w:r>
            <w:r w:rsidRPr="00BE1EBA">
              <w:br/>
              <w:t>Postal Code</w:t>
            </w:r>
            <w:r w:rsidRPr="00BE1EBA">
              <w:br/>
              <w:t>(Destination)</w:t>
            </w:r>
          </w:p>
        </w:tc>
      </w:tr>
      <w:tr w:rsidR="00D07F21" w:rsidRPr="00BE1EBA" w:rsidTr="00BA6C07">
        <w:trPr>
          <w:trHeight w:val="450"/>
        </w:trPr>
        <w:tc>
          <w:tcPr>
            <w:tcW w:w="3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F21" w:rsidRPr="00BE1EBA" w:rsidRDefault="00D07F21" w:rsidP="00BA6C07">
            <w:r w:rsidRPr="00BE1EBA">
              <w:t>Énergie atomique du Canada limitée</w:t>
            </w:r>
          </w:p>
        </w:tc>
        <w:tc>
          <w:tcPr>
            <w:tcW w:w="2441" w:type="dxa"/>
            <w:tcBorders>
              <w:top w:val="single" w:sz="4" w:space="0" w:color="auto"/>
              <w:left w:val="nil"/>
              <w:bottom w:val="single" w:sz="4" w:space="0" w:color="auto"/>
              <w:right w:val="single" w:sz="4" w:space="0" w:color="auto"/>
            </w:tcBorders>
            <w:shd w:val="clear" w:color="auto" w:fill="auto"/>
            <w:vAlign w:val="bottom"/>
            <w:hideMark/>
          </w:tcPr>
          <w:p w:rsidR="00D07F21" w:rsidRPr="00BE1EBA" w:rsidRDefault="00D07F21" w:rsidP="00BA6C07"/>
        </w:tc>
        <w:tc>
          <w:tcPr>
            <w:tcW w:w="1977" w:type="dxa"/>
            <w:tcBorders>
              <w:top w:val="single" w:sz="4" w:space="0" w:color="auto"/>
              <w:left w:val="nil"/>
              <w:bottom w:val="single" w:sz="4" w:space="0" w:color="auto"/>
              <w:right w:val="single" w:sz="4" w:space="0" w:color="auto"/>
            </w:tcBorders>
            <w:shd w:val="clear" w:color="auto" w:fill="auto"/>
            <w:vAlign w:val="bottom"/>
            <w:hideMark/>
          </w:tcPr>
          <w:p w:rsidR="00D07F21" w:rsidRPr="00BE1EBA" w:rsidRDefault="00D07F21" w:rsidP="00BA6C07"/>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r>
      <w:tr w:rsidR="00D07F21" w:rsidRPr="00BE1EBA" w:rsidTr="00BA6C07">
        <w:trPr>
          <w:trHeight w:val="450"/>
        </w:trPr>
        <w:tc>
          <w:tcPr>
            <w:tcW w:w="3379" w:type="dxa"/>
            <w:tcBorders>
              <w:top w:val="nil"/>
              <w:left w:val="single" w:sz="4" w:space="0" w:color="auto"/>
              <w:bottom w:val="single" w:sz="4" w:space="0" w:color="auto"/>
              <w:right w:val="single" w:sz="4" w:space="0" w:color="auto"/>
            </w:tcBorders>
            <w:shd w:val="clear" w:color="auto" w:fill="auto"/>
            <w:vAlign w:val="bottom"/>
            <w:hideMark/>
          </w:tcPr>
          <w:p w:rsidR="00D07F21" w:rsidRPr="00BE1EBA" w:rsidRDefault="00D07F21" w:rsidP="00BA6C07">
            <w:r w:rsidRPr="00BE1EBA">
              <w:t>Sélectionnez une</w:t>
            </w:r>
            <w:r w:rsidR="002A6210" w:rsidRPr="00BE1EBA">
              <w:t xml:space="preserve"> – </w:t>
            </w:r>
            <w:r w:rsidRPr="00BE1EBA">
              <w:t>Select One</w:t>
            </w:r>
          </w:p>
        </w:tc>
        <w:tc>
          <w:tcPr>
            <w:tcW w:w="2441"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977"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435"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r>
      <w:tr w:rsidR="00D07F21" w:rsidRPr="00BE1EBA" w:rsidTr="00BA6C07">
        <w:trPr>
          <w:trHeight w:val="450"/>
        </w:trPr>
        <w:tc>
          <w:tcPr>
            <w:tcW w:w="3379" w:type="dxa"/>
            <w:tcBorders>
              <w:top w:val="nil"/>
              <w:left w:val="single" w:sz="4" w:space="0" w:color="auto"/>
              <w:bottom w:val="single" w:sz="4" w:space="0" w:color="auto"/>
              <w:right w:val="single" w:sz="4" w:space="0" w:color="auto"/>
            </w:tcBorders>
            <w:shd w:val="clear" w:color="auto" w:fill="auto"/>
            <w:vAlign w:val="bottom"/>
            <w:hideMark/>
          </w:tcPr>
          <w:p w:rsidR="00D07F21" w:rsidRPr="00BE1EBA" w:rsidRDefault="00D07F21" w:rsidP="00BA6C07">
            <w:r w:rsidRPr="00BE1EBA">
              <w:t>Sélectionnez une</w:t>
            </w:r>
            <w:r w:rsidR="002A6210" w:rsidRPr="00BE1EBA">
              <w:t xml:space="preserve"> – </w:t>
            </w:r>
            <w:r w:rsidRPr="00BE1EBA">
              <w:t>Select One</w:t>
            </w:r>
          </w:p>
        </w:tc>
        <w:tc>
          <w:tcPr>
            <w:tcW w:w="2441"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977"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435"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r>
      <w:tr w:rsidR="00D07F21" w:rsidRPr="00BE1EBA" w:rsidTr="00BA6C07">
        <w:trPr>
          <w:trHeight w:val="450"/>
        </w:trPr>
        <w:tc>
          <w:tcPr>
            <w:tcW w:w="3379" w:type="dxa"/>
            <w:tcBorders>
              <w:top w:val="nil"/>
              <w:left w:val="single" w:sz="4" w:space="0" w:color="auto"/>
              <w:bottom w:val="single" w:sz="4" w:space="0" w:color="auto"/>
              <w:right w:val="single" w:sz="4" w:space="0" w:color="auto"/>
            </w:tcBorders>
            <w:shd w:val="clear" w:color="auto" w:fill="auto"/>
            <w:vAlign w:val="bottom"/>
            <w:hideMark/>
          </w:tcPr>
          <w:p w:rsidR="00D07F21" w:rsidRPr="00BE1EBA" w:rsidRDefault="00D07F21" w:rsidP="00BA6C07">
            <w:r w:rsidRPr="00BE1EBA">
              <w:t>Sélectionnez une</w:t>
            </w:r>
            <w:r w:rsidR="002A6210" w:rsidRPr="00BE1EBA">
              <w:t xml:space="preserve"> – </w:t>
            </w:r>
            <w:r w:rsidRPr="00BE1EBA">
              <w:t>Select One</w:t>
            </w:r>
          </w:p>
        </w:tc>
        <w:tc>
          <w:tcPr>
            <w:tcW w:w="2441"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977"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c>
          <w:tcPr>
            <w:tcW w:w="1435" w:type="dxa"/>
            <w:tcBorders>
              <w:top w:val="nil"/>
              <w:left w:val="nil"/>
              <w:bottom w:val="single" w:sz="4" w:space="0" w:color="auto"/>
              <w:right w:val="single" w:sz="4" w:space="0" w:color="auto"/>
            </w:tcBorders>
            <w:shd w:val="clear" w:color="auto" w:fill="auto"/>
            <w:vAlign w:val="bottom"/>
            <w:hideMark/>
          </w:tcPr>
          <w:p w:rsidR="00D07F21" w:rsidRPr="00BE1EBA" w:rsidRDefault="006D3CB4" w:rsidP="00BA6C07">
            <w:r w:rsidRPr="00BE1EBA">
              <w:t xml:space="preserve"> </w:t>
            </w:r>
          </w:p>
        </w:tc>
      </w:tr>
      <w:tr w:rsidR="00D07F21" w:rsidRPr="00BE1EBA" w:rsidTr="00BA6C07">
        <w:trPr>
          <w:trHeight w:val="450"/>
        </w:trPr>
        <w:tc>
          <w:tcPr>
            <w:tcW w:w="3379" w:type="dxa"/>
            <w:tcBorders>
              <w:top w:val="nil"/>
              <w:left w:val="single" w:sz="4" w:space="0" w:color="auto"/>
              <w:bottom w:val="single" w:sz="4" w:space="0" w:color="auto"/>
              <w:right w:val="single" w:sz="4" w:space="0" w:color="auto"/>
            </w:tcBorders>
            <w:shd w:val="clear" w:color="auto" w:fill="auto"/>
            <w:vAlign w:val="bottom"/>
            <w:hideMark/>
          </w:tcPr>
          <w:p w:rsidR="00D07F21" w:rsidRPr="00BE1EBA" w:rsidRDefault="00D07F21" w:rsidP="00BA6C07">
            <w:r w:rsidRPr="00BE1EBA">
              <w:t>Sélectionnez une</w:t>
            </w:r>
            <w:r w:rsidR="002A6210" w:rsidRPr="00BE1EBA">
              <w:t xml:space="preserve"> – </w:t>
            </w:r>
            <w:r w:rsidRPr="00BE1EBA">
              <w:t>Select One</w:t>
            </w:r>
          </w:p>
        </w:tc>
        <w:tc>
          <w:tcPr>
            <w:tcW w:w="2441" w:type="dxa"/>
            <w:tcBorders>
              <w:top w:val="nil"/>
              <w:left w:val="nil"/>
              <w:bottom w:val="single" w:sz="4" w:space="0" w:color="auto"/>
              <w:right w:val="single" w:sz="4" w:space="0" w:color="auto"/>
            </w:tcBorders>
            <w:shd w:val="clear" w:color="auto" w:fill="auto"/>
            <w:vAlign w:val="bottom"/>
            <w:hideMark/>
          </w:tcPr>
          <w:p w:rsidR="00D07F21" w:rsidRPr="00BE1EBA" w:rsidRDefault="00D07F21" w:rsidP="00BA6C07">
            <w:r w:rsidRPr="00BE1EBA">
              <w:t> </w:t>
            </w:r>
          </w:p>
        </w:tc>
        <w:tc>
          <w:tcPr>
            <w:tcW w:w="1977" w:type="dxa"/>
            <w:tcBorders>
              <w:top w:val="nil"/>
              <w:left w:val="nil"/>
              <w:bottom w:val="single" w:sz="4" w:space="0" w:color="auto"/>
              <w:right w:val="single" w:sz="4" w:space="0" w:color="auto"/>
            </w:tcBorders>
            <w:shd w:val="clear" w:color="auto" w:fill="auto"/>
            <w:vAlign w:val="bottom"/>
            <w:hideMark/>
          </w:tcPr>
          <w:p w:rsidR="00D07F21" w:rsidRPr="00BE1EBA" w:rsidRDefault="00D07F21" w:rsidP="00BA6C07">
            <w:r w:rsidRPr="00BE1EBA">
              <w:t> </w:t>
            </w:r>
          </w:p>
        </w:tc>
        <w:tc>
          <w:tcPr>
            <w:tcW w:w="1843" w:type="dxa"/>
            <w:tcBorders>
              <w:top w:val="nil"/>
              <w:left w:val="nil"/>
              <w:bottom w:val="single" w:sz="4" w:space="0" w:color="auto"/>
              <w:right w:val="single" w:sz="4" w:space="0" w:color="auto"/>
            </w:tcBorders>
            <w:shd w:val="clear" w:color="auto" w:fill="auto"/>
            <w:vAlign w:val="bottom"/>
            <w:hideMark/>
          </w:tcPr>
          <w:p w:rsidR="00D07F21" w:rsidRPr="00BE1EBA" w:rsidRDefault="00D07F21" w:rsidP="00BA6C07">
            <w:r w:rsidRPr="00BE1EBA">
              <w:t> </w:t>
            </w:r>
          </w:p>
        </w:tc>
        <w:tc>
          <w:tcPr>
            <w:tcW w:w="3118" w:type="dxa"/>
            <w:tcBorders>
              <w:top w:val="nil"/>
              <w:left w:val="nil"/>
              <w:bottom w:val="single" w:sz="4" w:space="0" w:color="auto"/>
              <w:right w:val="single" w:sz="4" w:space="0" w:color="auto"/>
            </w:tcBorders>
            <w:shd w:val="clear" w:color="auto" w:fill="auto"/>
            <w:vAlign w:val="bottom"/>
            <w:hideMark/>
          </w:tcPr>
          <w:p w:rsidR="00D07F21" w:rsidRPr="00BE1EBA" w:rsidRDefault="00D07F21" w:rsidP="00BA6C07">
            <w:r w:rsidRPr="00BE1EBA">
              <w:t> </w:t>
            </w:r>
          </w:p>
        </w:tc>
        <w:tc>
          <w:tcPr>
            <w:tcW w:w="1435" w:type="dxa"/>
            <w:tcBorders>
              <w:top w:val="nil"/>
              <w:left w:val="nil"/>
              <w:bottom w:val="single" w:sz="4" w:space="0" w:color="auto"/>
              <w:right w:val="single" w:sz="4" w:space="0" w:color="auto"/>
            </w:tcBorders>
            <w:shd w:val="clear" w:color="auto" w:fill="auto"/>
            <w:vAlign w:val="bottom"/>
            <w:hideMark/>
          </w:tcPr>
          <w:p w:rsidR="00D07F21" w:rsidRPr="00BE1EBA" w:rsidRDefault="00D07F21" w:rsidP="00BA6C07">
            <w:r w:rsidRPr="00BE1EBA">
              <w:t> </w:t>
            </w:r>
          </w:p>
        </w:tc>
      </w:tr>
    </w:tbl>
    <w:p w:rsidR="006D3CB4" w:rsidRPr="00BE1EBA" w:rsidRDefault="006D3CB4" w:rsidP="00D07F21">
      <w:pPr>
        <w:pStyle w:val="ListParagraph"/>
        <w:numPr>
          <w:ilvl w:val="0"/>
          <w:numId w:val="2"/>
        </w:numPr>
        <w:tabs>
          <w:tab w:val="left" w:pos="0"/>
        </w:tabs>
        <w:overflowPunct w:val="0"/>
        <w:autoSpaceDE w:val="0"/>
        <w:autoSpaceDN w:val="0"/>
        <w:adjustRightInd w:val="0"/>
        <w:contextualSpacing w:val="0"/>
        <w:textAlignment w:val="baseline"/>
      </w:pPr>
    </w:p>
    <w:p w:rsidR="006D3CB4" w:rsidRPr="00BE1EBA" w:rsidRDefault="006D3CB4" w:rsidP="00D07F21">
      <w:pPr>
        <w:pStyle w:val="ListParagraph"/>
        <w:numPr>
          <w:ilvl w:val="0"/>
          <w:numId w:val="2"/>
        </w:numPr>
        <w:tabs>
          <w:tab w:val="left" w:pos="0"/>
        </w:tabs>
        <w:overflowPunct w:val="0"/>
        <w:autoSpaceDE w:val="0"/>
        <w:autoSpaceDN w:val="0"/>
        <w:adjustRightInd w:val="0"/>
        <w:contextualSpacing w:val="0"/>
        <w:textAlignment w:val="baseline"/>
      </w:pPr>
      <w:r w:rsidRPr="00BE1EBA">
        <w:br w:type="page"/>
      </w:r>
    </w:p>
    <w:p w:rsidR="00D07F21" w:rsidRPr="00BE1EBA" w:rsidRDefault="00D07F21" w:rsidP="00D07F21">
      <w:pPr>
        <w:pStyle w:val="ListParagraph"/>
        <w:numPr>
          <w:ilvl w:val="0"/>
          <w:numId w:val="2"/>
        </w:numPr>
        <w:tabs>
          <w:tab w:val="left" w:pos="0"/>
        </w:tabs>
        <w:overflowPunct w:val="0"/>
        <w:autoSpaceDE w:val="0"/>
        <w:autoSpaceDN w:val="0"/>
        <w:adjustRightInd w:val="0"/>
        <w:contextualSpacing w:val="0"/>
        <w:textAlignment w:val="baseline"/>
        <w:sectPr w:rsidR="00D07F21" w:rsidRPr="00BE1EBA" w:rsidSect="00BA6C07">
          <w:footerReference w:type="default" r:id="rId24"/>
          <w:pgSz w:w="15840" w:h="12240" w:orient="landscape"/>
          <w:pgMar w:top="426" w:right="1440" w:bottom="1440" w:left="1440" w:header="709" w:footer="0" w:gutter="0"/>
          <w:cols w:space="708"/>
          <w:docGrid w:linePitch="360"/>
        </w:sectPr>
      </w:pPr>
    </w:p>
    <w:p w:rsidR="00D07F21" w:rsidRPr="00BE1EBA" w:rsidRDefault="00D07F21" w:rsidP="00467857">
      <w:pPr>
        <w:pStyle w:val="ModlesEn-tte1"/>
      </w:pPr>
      <w:bookmarkStart w:id="130" w:name="_Toc413070298"/>
      <w:r w:rsidRPr="00BE1EBA">
        <w:lastRenderedPageBreak/>
        <w:t>Annexe D</w:t>
      </w:r>
      <w:bookmarkEnd w:id="130"/>
    </w:p>
    <w:p w:rsidR="00D07F21" w:rsidRPr="00BE1EBA" w:rsidRDefault="00D07F21" w:rsidP="009B6C4B">
      <w:pPr>
        <w:pStyle w:val="ModlesEn-tte3"/>
        <w:jc w:val="center"/>
      </w:pPr>
      <w:bookmarkStart w:id="131" w:name="_Toc412634882"/>
      <w:r w:rsidRPr="00BE1EBA">
        <w:t>Guide sur les modalités d</w:t>
      </w:r>
      <w:r w:rsidR="00812400" w:rsidRPr="00BE1EBA">
        <w:t>’</w:t>
      </w:r>
      <w:r w:rsidRPr="00BE1EBA">
        <w:t xml:space="preserve">aménagement des </w:t>
      </w:r>
      <w:r w:rsidR="00A77994" w:rsidRPr="00BE1EBA">
        <w:t>postes de travail</w:t>
      </w:r>
      <w:bookmarkEnd w:id="131"/>
    </w:p>
    <w:p w:rsidR="00D07F21" w:rsidRPr="00BE1EBA" w:rsidRDefault="00D07F21" w:rsidP="009B6C4B">
      <w:pPr>
        <w:pStyle w:val="ModlesEn-tte3"/>
      </w:pPr>
    </w:p>
    <w:p w:rsidR="00D07F21" w:rsidRPr="00BE1EBA" w:rsidRDefault="00D07F21" w:rsidP="00B65B2E">
      <w:pPr>
        <w:pStyle w:val="ModlesEn-tte3"/>
        <w:ind w:left="0" w:firstLine="0"/>
      </w:pPr>
      <w:bookmarkStart w:id="132" w:name="_Toc412634883"/>
      <w:r w:rsidRPr="00BE1EBA">
        <w:t>Fourni à titre de pièce jointe indépendante et intitulée « Annexe D – Guide sur les modalités d</w:t>
      </w:r>
      <w:r w:rsidR="00812400" w:rsidRPr="00BE1EBA">
        <w:t>’</w:t>
      </w:r>
      <w:r w:rsidRPr="00BE1EBA">
        <w:t xml:space="preserve">aménagement des </w:t>
      </w:r>
      <w:r w:rsidR="00A77994" w:rsidRPr="00BE1EBA">
        <w:t>postes de travail</w:t>
      </w:r>
      <w:r w:rsidRPr="00BE1EBA">
        <w:t> ».</w:t>
      </w:r>
      <w:bookmarkEnd w:id="132"/>
    </w:p>
    <w:p w:rsidR="00D07F21" w:rsidRPr="00BE1EBA" w:rsidRDefault="006D3CB4" w:rsidP="009B6C4B">
      <w:pPr>
        <w:pStyle w:val="ModlesEn-tte3"/>
      </w:pPr>
      <w:r w:rsidRPr="00BE1EBA">
        <w:br w:type="page"/>
      </w:r>
    </w:p>
    <w:p w:rsidR="00D07F21" w:rsidRPr="00BE1EBA" w:rsidRDefault="00D07F21" w:rsidP="00467857">
      <w:pPr>
        <w:pStyle w:val="ModlesEn-tte1"/>
      </w:pPr>
      <w:bookmarkStart w:id="133" w:name="_Toc413070299"/>
      <w:r w:rsidRPr="00467857">
        <w:lastRenderedPageBreak/>
        <w:t>Annexe</w:t>
      </w:r>
      <w:r w:rsidRPr="00BE1EBA">
        <w:t> E</w:t>
      </w:r>
      <w:bookmarkEnd w:id="133"/>
    </w:p>
    <w:p w:rsidR="00D07F21" w:rsidRPr="00BE1EBA" w:rsidRDefault="00D07F21" w:rsidP="00B97D4E">
      <w:pPr>
        <w:pStyle w:val="ModlesEn-tte3"/>
      </w:pPr>
      <w:bookmarkStart w:id="134" w:name="_Toc412634885"/>
      <w:r w:rsidRPr="00BE1EBA">
        <w:t>Modèle d</w:t>
      </w:r>
      <w:r w:rsidR="00812400" w:rsidRPr="00BE1EBA">
        <w:t>’</w:t>
      </w:r>
      <w:r w:rsidRPr="00BE1EBA">
        <w:t>invitation à soumissionner et de contrat subséquent</w:t>
      </w:r>
      <w:bookmarkEnd w:id="134"/>
    </w:p>
    <w:p w:rsidR="00D07F21" w:rsidRPr="00BE1EBA" w:rsidRDefault="00D07F21" w:rsidP="00000822">
      <w:bookmarkStart w:id="135" w:name="_Toc412634886"/>
      <w:r w:rsidRPr="00BE1EBA">
        <w:t>Fourni à titre de pièce jointe indépendante et intitulée « Annexe E</w:t>
      </w:r>
      <w:r w:rsidR="002A6210" w:rsidRPr="00BE1EBA">
        <w:t xml:space="preserve"> – </w:t>
      </w:r>
      <w:r w:rsidRPr="00BE1EBA">
        <w:t>Modèle d</w:t>
      </w:r>
      <w:r w:rsidR="00812400" w:rsidRPr="00BE1EBA">
        <w:t>’</w:t>
      </w:r>
      <w:r w:rsidRPr="00BE1EBA">
        <w:t>invitation à soumissionner et de contrat subséquent ».</w:t>
      </w:r>
      <w:bookmarkEnd w:id="135"/>
    </w:p>
    <w:p w:rsidR="00D07F21" w:rsidRPr="00BE1EBA" w:rsidRDefault="00D07F21" w:rsidP="00D07F21">
      <w:pPr>
        <w:pStyle w:val="Heading3"/>
      </w:pPr>
    </w:p>
    <w:p w:rsidR="00D07F21" w:rsidRPr="00BE1EBA" w:rsidRDefault="006D3CB4" w:rsidP="00D07F21">
      <w:pPr>
        <w:spacing w:after="0"/>
        <w:rPr>
          <w:b/>
        </w:rPr>
      </w:pPr>
      <w:r w:rsidRPr="00BE1EBA">
        <w:br w:type="page"/>
      </w:r>
    </w:p>
    <w:p w:rsidR="00D07F21" w:rsidRPr="00BE1EBA" w:rsidRDefault="00000822" w:rsidP="00CE6317">
      <w:pPr>
        <w:pStyle w:val="ModlesEn-tte3"/>
      </w:pPr>
      <w:bookmarkStart w:id="136" w:name="_Toc413070300"/>
      <w:bookmarkStart w:id="137" w:name="_Toc412634887"/>
      <w:r w:rsidRPr="00232778">
        <w:rPr>
          <w:rStyle w:val="ModlesEn-tte1Char"/>
        </w:rPr>
        <w:lastRenderedPageBreak/>
        <w:t>Appendice</w:t>
      </w:r>
      <w:r w:rsidR="00D07F21" w:rsidRPr="00232778">
        <w:rPr>
          <w:rStyle w:val="ModlesEn-tte1Char"/>
        </w:rPr>
        <w:t> A</w:t>
      </w:r>
      <w:bookmarkEnd w:id="136"/>
      <w:r w:rsidR="00D07F21" w:rsidRPr="00BE1EBA">
        <w:t xml:space="preserve"> de la DAMA – Portée des travaux</w:t>
      </w:r>
      <w:bookmarkEnd w:id="137"/>
    </w:p>
    <w:p w:rsidR="00D07F21" w:rsidRPr="00BE1EBA" w:rsidRDefault="00D07F21" w:rsidP="00000822">
      <w:bookmarkStart w:id="138" w:name="_Toc412634888"/>
      <w:r w:rsidRPr="00BE1EBA">
        <w:t>Fourni à titre de pièce jointe indépendante et intitulée « Annexe A de la DAMA – Portée des travaux ».</w:t>
      </w:r>
      <w:bookmarkEnd w:id="138"/>
    </w:p>
    <w:p w:rsidR="00D07F21" w:rsidRPr="00BE1EBA" w:rsidRDefault="006D3CB4" w:rsidP="00D07F21">
      <w:pPr>
        <w:spacing w:after="0"/>
      </w:pPr>
      <w:r w:rsidRPr="00BE1EBA">
        <w:br w:type="page"/>
      </w:r>
    </w:p>
    <w:p w:rsidR="00D07F21" w:rsidRPr="00BE1EBA" w:rsidRDefault="00D07F21" w:rsidP="00CE6317">
      <w:pPr>
        <w:pStyle w:val="ModlesEn-tte3"/>
      </w:pPr>
      <w:bookmarkStart w:id="139" w:name="_Toc413070301"/>
      <w:bookmarkStart w:id="140" w:name="_Toc412634889"/>
      <w:r w:rsidRPr="00232778">
        <w:rPr>
          <w:rStyle w:val="ModlesEn-tte1Char"/>
        </w:rPr>
        <w:lastRenderedPageBreak/>
        <w:t>Appendice B</w:t>
      </w:r>
      <w:bookmarkEnd w:id="139"/>
      <w:r w:rsidRPr="00BE1EBA">
        <w:t xml:space="preserve"> de l</w:t>
      </w:r>
      <w:r w:rsidR="00812400" w:rsidRPr="00BE1EBA">
        <w:t>’</w:t>
      </w:r>
      <w:r w:rsidRPr="00BE1EBA">
        <w:t>AMA – Produits livrables</w:t>
      </w:r>
      <w:bookmarkEnd w:id="140"/>
    </w:p>
    <w:p w:rsidR="00D07F21" w:rsidRPr="00BE1EBA" w:rsidRDefault="00D07F21" w:rsidP="00EC6764">
      <w:pPr>
        <w:pStyle w:val="ModlesEn-tte3"/>
        <w:ind w:left="0" w:firstLine="0"/>
      </w:pPr>
      <w:bookmarkStart w:id="141" w:name="_Toc412634890"/>
      <w:r w:rsidRPr="00BE1EBA">
        <w:t>Fourni à titre de pièce jointe indépendante et intitulée « Appendice B de l</w:t>
      </w:r>
      <w:r w:rsidR="00812400" w:rsidRPr="00BE1EBA">
        <w:t>’</w:t>
      </w:r>
      <w:r w:rsidRPr="00BE1EBA">
        <w:t>AMA – Produits livrables ».</w:t>
      </w:r>
      <w:bookmarkEnd w:id="141"/>
    </w:p>
    <w:p w:rsidR="00B24B16" w:rsidRPr="00812400" w:rsidRDefault="00D71EB9" w:rsidP="00467857">
      <w:pPr>
        <w:pStyle w:val="ModlesEn-tte1"/>
      </w:pPr>
      <w:r w:rsidRPr="00812400">
        <w:t xml:space="preserve"> </w:t>
      </w:r>
    </w:p>
    <w:p w:rsidR="00B24B16" w:rsidRPr="00812400" w:rsidRDefault="00B24B16">
      <w:pPr>
        <w:pStyle w:val="DefaultText"/>
        <w:ind w:left="720"/>
        <w:rPr>
          <w:b/>
          <w:bCs/>
          <w:i/>
          <w:iCs/>
          <w:color w:val="0000FF"/>
        </w:rPr>
      </w:pPr>
    </w:p>
    <w:sectPr w:rsidR="00B24B16" w:rsidRPr="00812400" w:rsidSect="00F77304">
      <w:headerReference w:type="default" r:id="rId25"/>
      <w:footerReference w:type="default" r:id="rId26"/>
      <w:pgSz w:w="12240" w:h="15840"/>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2E" w:rsidRPr="00812400" w:rsidRDefault="0055292E" w:rsidP="007268F4">
      <w:r w:rsidRPr="00812400">
        <w:separator/>
      </w:r>
    </w:p>
  </w:endnote>
  <w:endnote w:type="continuationSeparator" w:id="0">
    <w:p w:rsidR="0055292E" w:rsidRPr="00812400" w:rsidRDefault="0055292E" w:rsidP="007268F4">
      <w:r w:rsidRPr="0081240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068"/>
      <w:docPartObj>
        <w:docPartGallery w:val="Page Numbers (Bottom of Page)"/>
        <w:docPartUnique/>
      </w:docPartObj>
    </w:sdtPr>
    <w:sdtContent>
      <w:sdt>
        <w:sdtPr>
          <w:id w:val="13833069"/>
          <w:docPartObj>
            <w:docPartGallery w:val="Page Numbers (Top of Page)"/>
            <w:docPartUnique/>
          </w:docPartObj>
        </w:sdtPr>
        <w:sdtContent>
          <w:p w:rsidR="0055292E" w:rsidRPr="00812400" w:rsidRDefault="0055292E" w:rsidP="00BA6C07">
            <w:pPr>
              <w:pStyle w:val="Footer"/>
            </w:pPr>
          </w:p>
          <w:p w:rsidR="0055292E" w:rsidRPr="00812400" w:rsidRDefault="0055292E" w:rsidP="00BA6C07">
            <w:pPr>
              <w:pStyle w:val="Footer"/>
              <w:jc w:val="center"/>
              <w:rPr>
                <w:sz w:val="24"/>
              </w:rPr>
            </w:pPr>
            <w:r w:rsidRPr="00812400">
              <w:t xml:space="preserve">Page </w:t>
            </w:r>
            <w:fldSimple w:instr=" PAGE ">
              <w:r w:rsidR="009A757F">
                <w:rPr>
                  <w:noProof/>
                </w:rPr>
                <w:t>7</w:t>
              </w:r>
            </w:fldSimple>
            <w:r w:rsidRPr="00812400">
              <w:t xml:space="preserve"> of </w:t>
            </w:r>
            <w:fldSimple w:instr=" NUMPAGES  ">
              <w:r w:rsidR="009A757F">
                <w:rPr>
                  <w:noProof/>
                </w:rPr>
                <w:t>62</w:t>
              </w:r>
            </w:fldSimple>
          </w:p>
        </w:sdtContent>
      </w:sdt>
    </w:sdtContent>
  </w:sdt>
  <w:p w:rsidR="0055292E" w:rsidRPr="00812400" w:rsidRDefault="0055292E" w:rsidP="00BA6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070"/>
      <w:docPartObj>
        <w:docPartGallery w:val="Page Numbers (Bottom of Page)"/>
        <w:docPartUnique/>
      </w:docPartObj>
    </w:sdtPr>
    <w:sdtContent>
      <w:sdt>
        <w:sdtPr>
          <w:id w:val="13833071"/>
          <w:docPartObj>
            <w:docPartGallery w:val="Page Numbers (Top of Page)"/>
            <w:docPartUnique/>
          </w:docPartObj>
        </w:sdtPr>
        <w:sdtContent>
          <w:p w:rsidR="0055292E" w:rsidRPr="00812400" w:rsidRDefault="0055292E" w:rsidP="00BA6C07">
            <w:pPr>
              <w:pStyle w:val="Footer"/>
            </w:pPr>
          </w:p>
          <w:p w:rsidR="0055292E" w:rsidRPr="00812400" w:rsidRDefault="0055292E" w:rsidP="00BA6C07">
            <w:pPr>
              <w:pStyle w:val="Footer"/>
              <w:rPr>
                <w:sz w:val="24"/>
              </w:rPr>
            </w:pPr>
            <w:r w:rsidRPr="00812400">
              <w:t xml:space="preserve">Page </w:t>
            </w:r>
            <w:fldSimple w:instr=" PAGE ">
              <w:r w:rsidR="00ED7F87">
                <w:rPr>
                  <w:noProof/>
                </w:rPr>
                <w:t>57</w:t>
              </w:r>
            </w:fldSimple>
            <w:r w:rsidRPr="00812400">
              <w:t xml:space="preserve"> of </w:t>
            </w:r>
            <w:fldSimple w:instr=" NUMPAGES  ">
              <w:r w:rsidR="00ED7F87">
                <w:rPr>
                  <w:noProof/>
                </w:rPr>
                <w:t>57</w:t>
              </w:r>
            </w:fldSimple>
          </w:p>
        </w:sdtContent>
      </w:sdt>
    </w:sdtContent>
  </w:sdt>
  <w:p w:rsidR="0055292E" w:rsidRPr="00812400" w:rsidRDefault="0055292E" w:rsidP="00BA6C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072"/>
      <w:docPartObj>
        <w:docPartGallery w:val="Page Numbers (Bottom of Page)"/>
        <w:docPartUnique/>
      </w:docPartObj>
    </w:sdtPr>
    <w:sdtContent>
      <w:sdt>
        <w:sdtPr>
          <w:id w:val="13833073"/>
          <w:docPartObj>
            <w:docPartGallery w:val="Page Numbers (Top of Page)"/>
            <w:docPartUnique/>
          </w:docPartObj>
        </w:sdtPr>
        <w:sdtContent>
          <w:p w:rsidR="0055292E" w:rsidRPr="00812400" w:rsidRDefault="0055292E" w:rsidP="00BA6C07">
            <w:pPr>
              <w:pStyle w:val="Footer"/>
            </w:pPr>
          </w:p>
          <w:p w:rsidR="0055292E" w:rsidRPr="00812400" w:rsidRDefault="0055292E" w:rsidP="00BA6C07">
            <w:pPr>
              <w:pStyle w:val="Footer"/>
              <w:rPr>
                <w:sz w:val="24"/>
              </w:rPr>
            </w:pPr>
            <w:r w:rsidRPr="00812400">
              <w:t xml:space="preserve">Page </w:t>
            </w:r>
            <w:fldSimple w:instr=" PAGE ">
              <w:r w:rsidR="009A757F">
                <w:rPr>
                  <w:noProof/>
                </w:rPr>
                <w:t>58</w:t>
              </w:r>
            </w:fldSimple>
            <w:r w:rsidRPr="00812400">
              <w:t xml:space="preserve"> of </w:t>
            </w:r>
            <w:fldSimple w:instr=" NUMPAGES  ">
              <w:r w:rsidR="009A757F">
                <w:rPr>
                  <w:noProof/>
                </w:rPr>
                <w:t>62</w:t>
              </w:r>
            </w:fldSimple>
          </w:p>
        </w:sdtContent>
      </w:sdt>
    </w:sdtContent>
  </w:sdt>
  <w:p w:rsidR="0055292E" w:rsidRPr="00812400" w:rsidRDefault="0055292E" w:rsidP="00BA6C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2E" w:rsidRPr="00812400" w:rsidRDefault="0055292E" w:rsidP="00A46D82">
    <w:pPr>
      <w:pStyle w:val="BodyText"/>
      <w:jc w:val="center"/>
      <w:rPr>
        <w:color w:val="auto"/>
      </w:rPr>
    </w:pPr>
    <w:r w:rsidRPr="00812400">
      <w:rPr>
        <w:rFonts w:ascii="Arial" w:hAnsi="Arial"/>
        <w:b/>
        <w:color w:val="auto"/>
        <w:sz w:val="16"/>
      </w:rPr>
      <w:t xml:space="preserve">Page </w:t>
    </w:r>
    <w:r w:rsidR="00731813" w:rsidRPr="00812400">
      <w:rPr>
        <w:rFonts w:ascii="Arial" w:hAnsi="Arial"/>
        <w:b/>
        <w:color w:val="auto"/>
        <w:sz w:val="16"/>
      </w:rPr>
      <w:fldChar w:fldCharType="begin"/>
    </w:r>
    <w:r w:rsidRPr="00812400">
      <w:rPr>
        <w:rFonts w:ascii="Arial" w:hAnsi="Arial"/>
        <w:b/>
        <w:color w:val="auto"/>
        <w:sz w:val="16"/>
      </w:rPr>
      <w:instrText>page  \* MERGEFORMAT</w:instrText>
    </w:r>
    <w:r w:rsidR="00731813" w:rsidRPr="00812400">
      <w:rPr>
        <w:rFonts w:ascii="Arial" w:hAnsi="Arial"/>
        <w:b/>
        <w:color w:val="auto"/>
        <w:sz w:val="16"/>
      </w:rPr>
      <w:fldChar w:fldCharType="separate"/>
    </w:r>
    <w:r w:rsidR="00ED7F87">
      <w:rPr>
        <w:rFonts w:ascii="Arial" w:hAnsi="Arial"/>
        <w:b/>
        <w:noProof/>
        <w:color w:val="auto"/>
        <w:sz w:val="16"/>
      </w:rPr>
      <w:t>62</w:t>
    </w:r>
    <w:r w:rsidR="00731813" w:rsidRPr="00812400">
      <w:rPr>
        <w:rFonts w:ascii="Arial" w:hAnsi="Arial"/>
        <w:b/>
        <w:color w:val="auto"/>
        <w:sz w:val="16"/>
      </w:rPr>
      <w:fldChar w:fldCharType="end"/>
    </w:r>
    <w:r w:rsidRPr="00812400">
      <w:rPr>
        <w:rFonts w:ascii="Arial" w:hAnsi="Arial"/>
        <w:b/>
        <w:color w:val="auto"/>
        <w:sz w:val="16"/>
      </w:rPr>
      <w:t xml:space="preserve"> of – de </w:t>
    </w:r>
    <w:fldSimple w:instr="numpages  \* MERGEFORMAT">
      <w:r w:rsidR="00ED7F87" w:rsidRPr="00ED7F87">
        <w:rPr>
          <w:rFonts w:ascii="Arial" w:hAnsi="Arial"/>
          <w:b/>
          <w:noProof/>
          <w:color w:val="auto"/>
          <w:sz w:val="16"/>
        </w:rPr>
        <w:t>62</w:t>
      </w:r>
    </w:fldSimple>
  </w:p>
  <w:p w:rsidR="0055292E" w:rsidRPr="00812400" w:rsidRDefault="00552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2E" w:rsidRPr="00812400" w:rsidRDefault="0055292E" w:rsidP="007268F4">
      <w:r w:rsidRPr="00812400">
        <w:separator/>
      </w:r>
    </w:p>
  </w:footnote>
  <w:footnote w:type="continuationSeparator" w:id="0">
    <w:p w:rsidR="0055292E" w:rsidRPr="00812400" w:rsidRDefault="0055292E" w:rsidP="007268F4">
      <w:r w:rsidRPr="00812400">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2E" w:rsidRPr="00812400" w:rsidRDefault="0055292E" w:rsidP="004B1F3F">
    <w:pPr>
      <w:pStyle w:val="BodyText"/>
      <w:tabs>
        <w:tab w:val="left" w:pos="360"/>
        <w:tab w:val="left" w:pos="3402"/>
        <w:tab w:val="left" w:pos="5954"/>
      </w:tabs>
      <w:spacing w:after="0"/>
      <w:ind w:left="425" w:right="-431" w:hanging="425"/>
      <w:rPr>
        <w:color w:val="auto"/>
      </w:rPr>
    </w:pPr>
    <w:r w:rsidRPr="00812400">
      <w:rPr>
        <w:rFonts w:ascii="Arial" w:hAnsi="Arial"/>
        <w:color w:val="auto"/>
        <w:sz w:val="14"/>
      </w:rPr>
      <w:t xml:space="preserve">N° de l'invitation – </w:t>
    </w:r>
    <w:proofErr w:type="spellStart"/>
    <w:r w:rsidRPr="00812400">
      <w:rPr>
        <w:rFonts w:ascii="Arial" w:hAnsi="Arial"/>
        <w:color w:val="auto"/>
        <w:sz w:val="14"/>
      </w:rPr>
      <w:t>Solicitation</w:t>
    </w:r>
    <w:proofErr w:type="spellEnd"/>
    <w:r w:rsidRPr="00812400">
      <w:rPr>
        <w:rFonts w:ascii="Arial" w:hAnsi="Arial"/>
        <w:color w:val="auto"/>
        <w:sz w:val="14"/>
      </w:rPr>
      <w:t xml:space="preserve"> No.</w:t>
    </w:r>
    <w:r w:rsidRPr="00812400">
      <w:tab/>
    </w:r>
    <w:r w:rsidRPr="00A77994">
      <w:rPr>
        <w:rFonts w:ascii="Arial" w:hAnsi="Arial"/>
        <w:color w:val="auto"/>
        <w:sz w:val="14"/>
        <w:lang w:val="es-ES"/>
      </w:rPr>
      <w:t xml:space="preserve">N° de la modif – Amd. No. </w:t>
    </w:r>
    <w:r w:rsidRPr="00A77994">
      <w:rPr>
        <w:lang w:val="es-ES"/>
      </w:rPr>
      <w:tab/>
    </w:r>
    <w:r w:rsidRPr="00812400">
      <w:rPr>
        <w:rFonts w:ascii="Arial" w:hAnsi="Arial"/>
        <w:color w:val="auto"/>
        <w:sz w:val="14"/>
      </w:rPr>
      <w:t xml:space="preserve">Id de l'acheteur – Buyer ID </w:t>
    </w:r>
  </w:p>
  <w:p w:rsidR="0055292E" w:rsidRPr="00812400" w:rsidRDefault="0055292E" w:rsidP="00C3574F">
    <w:pPr>
      <w:pStyle w:val="BodyText"/>
      <w:tabs>
        <w:tab w:val="left" w:pos="0"/>
        <w:tab w:val="left" w:pos="284"/>
        <w:tab w:val="left" w:pos="3402"/>
        <w:tab w:val="left" w:pos="5954"/>
      </w:tabs>
      <w:rPr>
        <w:color w:val="auto"/>
      </w:rPr>
    </w:pPr>
    <w:r w:rsidRPr="00812400">
      <w:rPr>
        <w:color w:val="auto"/>
        <w:sz w:val="20"/>
      </w:rPr>
      <w:t>XXXXX-XXXXXX/X</w:t>
    </w:r>
    <w:r w:rsidRPr="00812400">
      <w:tab/>
    </w:r>
    <w:r w:rsidRPr="00812400">
      <w:tab/>
    </w:r>
    <w:r w:rsidRPr="00812400">
      <w:rPr>
        <w:color w:val="auto"/>
        <w:sz w:val="20"/>
      </w:rPr>
      <w:t>xxxxx</w:t>
    </w:r>
  </w:p>
  <w:p w:rsidR="0055292E" w:rsidRPr="00812400" w:rsidRDefault="0055292E" w:rsidP="004B1F3F">
    <w:pPr>
      <w:pStyle w:val="BodyText"/>
      <w:tabs>
        <w:tab w:val="left" w:pos="284"/>
        <w:tab w:val="left" w:pos="3402"/>
        <w:tab w:val="left" w:pos="5954"/>
      </w:tabs>
      <w:spacing w:after="0"/>
      <w:rPr>
        <w:color w:val="auto"/>
      </w:rPr>
    </w:pPr>
    <w:r w:rsidRPr="00812400">
      <w:rPr>
        <w:rFonts w:ascii="Arial" w:hAnsi="Arial"/>
        <w:color w:val="auto"/>
      </w:rPr>
      <w:t xml:space="preserve"> </w:t>
    </w:r>
    <w:r w:rsidRPr="00812400">
      <w:rPr>
        <w:rFonts w:ascii="Arial" w:hAnsi="Arial"/>
        <w:color w:val="auto"/>
        <w:sz w:val="14"/>
      </w:rPr>
      <w:t>N° de réf. du client – Client Ref. No.</w:t>
    </w:r>
    <w:r w:rsidRPr="00812400">
      <w:tab/>
    </w:r>
    <w:r w:rsidRPr="00812400">
      <w:rPr>
        <w:rFonts w:ascii="Arial" w:hAnsi="Arial"/>
        <w:color w:val="auto"/>
        <w:sz w:val="14"/>
      </w:rPr>
      <w:t>Nº du dossier – File No.</w:t>
    </w:r>
    <w:r w:rsidRPr="00812400">
      <w:tab/>
    </w:r>
    <w:r w:rsidRPr="00812400">
      <w:rPr>
        <w:rFonts w:ascii="Arial" w:hAnsi="Arial"/>
        <w:color w:val="auto"/>
        <w:sz w:val="14"/>
      </w:rPr>
      <w:t xml:space="preserve">N° VME – FMS/N° CCC/CCC No. </w:t>
    </w:r>
  </w:p>
  <w:p w:rsidR="0055292E" w:rsidRPr="00812400" w:rsidRDefault="0055292E" w:rsidP="004B1F3F">
    <w:pPr>
      <w:pStyle w:val="BodyText"/>
      <w:tabs>
        <w:tab w:val="left" w:pos="284"/>
        <w:tab w:val="left" w:pos="3402"/>
        <w:tab w:val="left" w:pos="6200"/>
      </w:tabs>
      <w:spacing w:after="0"/>
      <w:rPr>
        <w:color w:val="auto"/>
      </w:rPr>
    </w:pPr>
    <w:r w:rsidRPr="00812400">
      <w:rPr>
        <w:color w:val="auto"/>
        <w:sz w:val="20"/>
      </w:rPr>
      <w:t>XXXXX-XXXXXX</w:t>
    </w:r>
    <w:r w:rsidRPr="00812400">
      <w:tab/>
    </w:r>
    <w:r w:rsidRPr="00812400">
      <w:rPr>
        <w:color w:val="auto"/>
        <w:sz w:val="20"/>
      </w:rPr>
      <w:t>xxxxx.XXXXX-XXXXXX</w:t>
    </w:r>
    <w:r w:rsidRPr="00812400">
      <w:tab/>
    </w:r>
  </w:p>
  <w:p w:rsidR="0055292E" w:rsidRPr="00812400" w:rsidRDefault="0055292E" w:rsidP="00C3574F">
    <w:pPr>
      <w:pStyle w:val="Header"/>
    </w:pPr>
    <w:r w:rsidRPr="00812400">
      <w:rPr>
        <w:noProof/>
        <w:lang w:val="en-CA" w:eastAsia="en-CA" w:bidi="ar-SA"/>
      </w:rPr>
      <w:drawing>
        <wp:inline distT="0" distB="0" distL="0" distR="0">
          <wp:extent cx="5848350" cy="10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3" t="-9723"/>
                  <a:stretch>
                    <a:fillRect/>
                  </a:stretch>
                </pic:blipFill>
                <pic:spPr bwMode="auto">
                  <a:xfrm>
                    <a:off x="0" y="0"/>
                    <a:ext cx="5848350" cy="104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C4"/>
    <w:multiLevelType w:val="hybridMultilevel"/>
    <w:tmpl w:val="69C89834"/>
    <w:lvl w:ilvl="0" w:tplc="D708D0D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nsid w:val="139621CA"/>
    <w:multiLevelType w:val="multilevel"/>
    <w:tmpl w:val="60E245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47CB9"/>
    <w:multiLevelType w:val="multilevel"/>
    <w:tmpl w:val="1DE680E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51C6A"/>
    <w:multiLevelType w:val="hybridMultilevel"/>
    <w:tmpl w:val="AD700F74"/>
    <w:lvl w:ilvl="0" w:tplc="1009001B">
      <w:start w:val="1"/>
      <w:numFmt w:val="lowerRoman"/>
      <w:lvlText w:val="%1."/>
      <w:lvlJc w:val="righ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
    <w:nsid w:val="1FC503E5"/>
    <w:multiLevelType w:val="hybridMultilevel"/>
    <w:tmpl w:val="1F74FA10"/>
    <w:lvl w:ilvl="0" w:tplc="D708D0D8">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nsid w:val="20FD3BD7"/>
    <w:multiLevelType w:val="hybridMultilevel"/>
    <w:tmpl w:val="B5E6C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9F4ABD"/>
    <w:multiLevelType w:val="hybridMultilevel"/>
    <w:tmpl w:val="FB126AF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E135F2"/>
    <w:multiLevelType w:val="hybridMultilevel"/>
    <w:tmpl w:val="D93C67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A00CC6"/>
    <w:multiLevelType w:val="multilevel"/>
    <w:tmpl w:val="76BEFC1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F46157"/>
    <w:multiLevelType w:val="hybridMultilevel"/>
    <w:tmpl w:val="BA4C9CA2"/>
    <w:lvl w:ilvl="0" w:tplc="659EC1E4">
      <w:start w:val="1"/>
      <w:numFmt w:val="lowerRoman"/>
      <w:lvlText w:val="%1."/>
      <w:lvlJc w:val="left"/>
      <w:pPr>
        <w:ind w:left="1251" w:hanging="720"/>
      </w:pPr>
      <w:rPr>
        <w:rFonts w:hint="default"/>
        <w:color w:val="000000"/>
      </w:rPr>
    </w:lvl>
    <w:lvl w:ilvl="1" w:tplc="10090019" w:tentative="1">
      <w:start w:val="1"/>
      <w:numFmt w:val="lowerLetter"/>
      <w:lvlText w:val="%2."/>
      <w:lvlJc w:val="left"/>
      <w:pPr>
        <w:ind w:left="1611" w:hanging="360"/>
      </w:pPr>
    </w:lvl>
    <w:lvl w:ilvl="2" w:tplc="1009001B" w:tentative="1">
      <w:start w:val="1"/>
      <w:numFmt w:val="lowerRoman"/>
      <w:lvlText w:val="%3."/>
      <w:lvlJc w:val="right"/>
      <w:pPr>
        <w:ind w:left="2331" w:hanging="180"/>
      </w:pPr>
    </w:lvl>
    <w:lvl w:ilvl="3" w:tplc="1009000F" w:tentative="1">
      <w:start w:val="1"/>
      <w:numFmt w:val="decimal"/>
      <w:lvlText w:val="%4."/>
      <w:lvlJc w:val="left"/>
      <w:pPr>
        <w:ind w:left="3051" w:hanging="360"/>
      </w:pPr>
    </w:lvl>
    <w:lvl w:ilvl="4" w:tplc="10090019" w:tentative="1">
      <w:start w:val="1"/>
      <w:numFmt w:val="lowerLetter"/>
      <w:lvlText w:val="%5."/>
      <w:lvlJc w:val="left"/>
      <w:pPr>
        <w:ind w:left="3771" w:hanging="360"/>
      </w:pPr>
    </w:lvl>
    <w:lvl w:ilvl="5" w:tplc="1009001B" w:tentative="1">
      <w:start w:val="1"/>
      <w:numFmt w:val="lowerRoman"/>
      <w:lvlText w:val="%6."/>
      <w:lvlJc w:val="right"/>
      <w:pPr>
        <w:ind w:left="4491" w:hanging="180"/>
      </w:pPr>
    </w:lvl>
    <w:lvl w:ilvl="6" w:tplc="1009000F" w:tentative="1">
      <w:start w:val="1"/>
      <w:numFmt w:val="decimal"/>
      <w:lvlText w:val="%7."/>
      <w:lvlJc w:val="left"/>
      <w:pPr>
        <w:ind w:left="5211" w:hanging="360"/>
      </w:pPr>
    </w:lvl>
    <w:lvl w:ilvl="7" w:tplc="10090019" w:tentative="1">
      <w:start w:val="1"/>
      <w:numFmt w:val="lowerLetter"/>
      <w:lvlText w:val="%8."/>
      <w:lvlJc w:val="left"/>
      <w:pPr>
        <w:ind w:left="5931" w:hanging="360"/>
      </w:pPr>
    </w:lvl>
    <w:lvl w:ilvl="8" w:tplc="1009001B" w:tentative="1">
      <w:start w:val="1"/>
      <w:numFmt w:val="lowerRoman"/>
      <w:lvlText w:val="%9."/>
      <w:lvlJc w:val="right"/>
      <w:pPr>
        <w:ind w:left="6651" w:hanging="180"/>
      </w:pPr>
    </w:lvl>
  </w:abstractNum>
  <w:abstractNum w:abstractNumId="10">
    <w:nsid w:val="4B9301ED"/>
    <w:multiLevelType w:val="hybridMultilevel"/>
    <w:tmpl w:val="01128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086BB4"/>
    <w:multiLevelType w:val="hybridMultilevel"/>
    <w:tmpl w:val="DC5A1252"/>
    <w:lvl w:ilvl="0" w:tplc="ADE48B34">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1782A1E"/>
    <w:multiLevelType w:val="hybridMultilevel"/>
    <w:tmpl w:val="DCC2A440"/>
    <w:lvl w:ilvl="0" w:tplc="10090017">
      <w:start w:val="1"/>
      <w:numFmt w:val="lowerLetter"/>
      <w:lvlText w:val="%1)"/>
      <w:lvlJc w:val="left"/>
      <w:pPr>
        <w:ind w:left="1251" w:hanging="360"/>
      </w:pPr>
    </w:lvl>
    <w:lvl w:ilvl="1" w:tplc="10090019" w:tentative="1">
      <w:start w:val="1"/>
      <w:numFmt w:val="lowerLetter"/>
      <w:lvlText w:val="%2."/>
      <w:lvlJc w:val="left"/>
      <w:pPr>
        <w:ind w:left="1971" w:hanging="360"/>
      </w:pPr>
    </w:lvl>
    <w:lvl w:ilvl="2" w:tplc="1009001B" w:tentative="1">
      <w:start w:val="1"/>
      <w:numFmt w:val="lowerRoman"/>
      <w:lvlText w:val="%3."/>
      <w:lvlJc w:val="right"/>
      <w:pPr>
        <w:ind w:left="2691" w:hanging="180"/>
      </w:pPr>
    </w:lvl>
    <w:lvl w:ilvl="3" w:tplc="1009000F" w:tentative="1">
      <w:start w:val="1"/>
      <w:numFmt w:val="decimal"/>
      <w:lvlText w:val="%4."/>
      <w:lvlJc w:val="left"/>
      <w:pPr>
        <w:ind w:left="3411" w:hanging="360"/>
      </w:pPr>
    </w:lvl>
    <w:lvl w:ilvl="4" w:tplc="10090019" w:tentative="1">
      <w:start w:val="1"/>
      <w:numFmt w:val="lowerLetter"/>
      <w:lvlText w:val="%5."/>
      <w:lvlJc w:val="left"/>
      <w:pPr>
        <w:ind w:left="4131" w:hanging="360"/>
      </w:pPr>
    </w:lvl>
    <w:lvl w:ilvl="5" w:tplc="1009001B" w:tentative="1">
      <w:start w:val="1"/>
      <w:numFmt w:val="lowerRoman"/>
      <w:lvlText w:val="%6."/>
      <w:lvlJc w:val="right"/>
      <w:pPr>
        <w:ind w:left="4851" w:hanging="180"/>
      </w:pPr>
    </w:lvl>
    <w:lvl w:ilvl="6" w:tplc="1009000F" w:tentative="1">
      <w:start w:val="1"/>
      <w:numFmt w:val="decimal"/>
      <w:lvlText w:val="%7."/>
      <w:lvlJc w:val="left"/>
      <w:pPr>
        <w:ind w:left="5571" w:hanging="360"/>
      </w:pPr>
    </w:lvl>
    <w:lvl w:ilvl="7" w:tplc="10090019" w:tentative="1">
      <w:start w:val="1"/>
      <w:numFmt w:val="lowerLetter"/>
      <w:lvlText w:val="%8."/>
      <w:lvlJc w:val="left"/>
      <w:pPr>
        <w:ind w:left="6291" w:hanging="360"/>
      </w:pPr>
    </w:lvl>
    <w:lvl w:ilvl="8" w:tplc="1009001B" w:tentative="1">
      <w:start w:val="1"/>
      <w:numFmt w:val="lowerRoman"/>
      <w:lvlText w:val="%9."/>
      <w:lvlJc w:val="right"/>
      <w:pPr>
        <w:ind w:left="7011" w:hanging="180"/>
      </w:pPr>
    </w:lvl>
  </w:abstractNum>
  <w:abstractNum w:abstractNumId="13">
    <w:nsid w:val="537A441D"/>
    <w:multiLevelType w:val="hybridMultilevel"/>
    <w:tmpl w:val="98AC8E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5E5737A"/>
    <w:multiLevelType w:val="multilevel"/>
    <w:tmpl w:val="A956F4AE"/>
    <w:lvl w:ilvl="0">
      <w:start w:val="10"/>
      <w:numFmt w:val="decimal"/>
      <w:lvlText w:val="%1"/>
      <w:lvlJc w:val="left"/>
      <w:pPr>
        <w:ind w:left="600" w:hanging="600"/>
      </w:pPr>
      <w:rPr>
        <w:rFonts w:hint="default"/>
      </w:rPr>
    </w:lvl>
    <w:lvl w:ilvl="1">
      <w:start w:val="1"/>
      <w:numFmt w:val="decimal"/>
      <w:lvlText w:val="%1.%2"/>
      <w:lvlJc w:val="left"/>
      <w:pPr>
        <w:ind w:left="1322" w:hanging="600"/>
      </w:pPr>
      <w:rPr>
        <w:rFonts w:hint="default"/>
      </w:rPr>
    </w:lvl>
    <w:lvl w:ilvl="2">
      <w:start w:val="4"/>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15">
    <w:nsid w:val="59C64657"/>
    <w:multiLevelType w:val="multilevel"/>
    <w:tmpl w:val="8D4AEC0E"/>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B7F5F82"/>
    <w:multiLevelType w:val="hybridMultilevel"/>
    <w:tmpl w:val="1ACEA20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nsid w:val="5E842C83"/>
    <w:multiLevelType w:val="hybridMultilevel"/>
    <w:tmpl w:val="C918119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9B156E"/>
    <w:multiLevelType w:val="hybridMultilevel"/>
    <w:tmpl w:val="0BE80166"/>
    <w:lvl w:ilvl="0" w:tplc="F54E70AE">
      <w:start w:val="1"/>
      <w:numFmt w:val="lowerRoman"/>
      <w:pStyle w:val="Style3"/>
      <w:lvlText w:val="%1."/>
      <w:lvlJc w:val="right"/>
      <w:pPr>
        <w:ind w:left="1291" w:hanging="360"/>
      </w:pPr>
    </w:lvl>
    <w:lvl w:ilvl="1" w:tplc="228CBAF6" w:tentative="1">
      <w:start w:val="1"/>
      <w:numFmt w:val="lowerLetter"/>
      <w:lvlText w:val="%2."/>
      <w:lvlJc w:val="left"/>
      <w:pPr>
        <w:ind w:left="2011" w:hanging="360"/>
      </w:pPr>
    </w:lvl>
    <w:lvl w:ilvl="2" w:tplc="2A2AFBF0" w:tentative="1">
      <w:start w:val="1"/>
      <w:numFmt w:val="lowerRoman"/>
      <w:lvlText w:val="%3."/>
      <w:lvlJc w:val="right"/>
      <w:pPr>
        <w:ind w:left="2731" w:hanging="180"/>
      </w:pPr>
    </w:lvl>
    <w:lvl w:ilvl="3" w:tplc="AD92634E" w:tentative="1">
      <w:start w:val="1"/>
      <w:numFmt w:val="decimal"/>
      <w:lvlText w:val="%4."/>
      <w:lvlJc w:val="left"/>
      <w:pPr>
        <w:ind w:left="3451" w:hanging="360"/>
      </w:pPr>
    </w:lvl>
    <w:lvl w:ilvl="4" w:tplc="3EA6C4FC" w:tentative="1">
      <w:start w:val="1"/>
      <w:numFmt w:val="lowerLetter"/>
      <w:lvlText w:val="%5."/>
      <w:lvlJc w:val="left"/>
      <w:pPr>
        <w:ind w:left="4171" w:hanging="360"/>
      </w:pPr>
    </w:lvl>
    <w:lvl w:ilvl="5" w:tplc="B510CFBE" w:tentative="1">
      <w:start w:val="1"/>
      <w:numFmt w:val="lowerRoman"/>
      <w:lvlText w:val="%6."/>
      <w:lvlJc w:val="right"/>
      <w:pPr>
        <w:ind w:left="4891" w:hanging="180"/>
      </w:pPr>
    </w:lvl>
    <w:lvl w:ilvl="6" w:tplc="66AE79F8" w:tentative="1">
      <w:start w:val="1"/>
      <w:numFmt w:val="decimal"/>
      <w:lvlText w:val="%7."/>
      <w:lvlJc w:val="left"/>
      <w:pPr>
        <w:ind w:left="5611" w:hanging="360"/>
      </w:pPr>
    </w:lvl>
    <w:lvl w:ilvl="7" w:tplc="A1921126" w:tentative="1">
      <w:start w:val="1"/>
      <w:numFmt w:val="lowerLetter"/>
      <w:lvlText w:val="%8."/>
      <w:lvlJc w:val="left"/>
      <w:pPr>
        <w:ind w:left="6331" w:hanging="360"/>
      </w:pPr>
    </w:lvl>
    <w:lvl w:ilvl="8" w:tplc="2F6A47A6" w:tentative="1">
      <w:start w:val="1"/>
      <w:numFmt w:val="lowerRoman"/>
      <w:lvlText w:val="%9."/>
      <w:lvlJc w:val="right"/>
      <w:pPr>
        <w:ind w:left="7051" w:hanging="180"/>
      </w:pPr>
    </w:lvl>
  </w:abstractNum>
  <w:abstractNum w:abstractNumId="19">
    <w:nsid w:val="696F1952"/>
    <w:multiLevelType w:val="hybridMultilevel"/>
    <w:tmpl w:val="734EF108"/>
    <w:lvl w:ilvl="0" w:tplc="59E2BB86">
      <w:numFmt w:val="bullet"/>
      <w:lvlText w:val="•"/>
      <w:lvlJc w:val="left"/>
      <w:pPr>
        <w:ind w:left="891" w:hanging="360"/>
      </w:pPr>
      <w:rPr>
        <w:rFonts w:ascii="Arial" w:eastAsia="Times New Roman" w:hAnsi="Arial" w:cs="Arial" w:hint="default"/>
      </w:rPr>
    </w:lvl>
    <w:lvl w:ilvl="1" w:tplc="10090003" w:tentative="1">
      <w:start w:val="1"/>
      <w:numFmt w:val="bullet"/>
      <w:lvlText w:val="o"/>
      <w:lvlJc w:val="left"/>
      <w:pPr>
        <w:ind w:left="1611" w:hanging="360"/>
      </w:pPr>
      <w:rPr>
        <w:rFonts w:ascii="Courier New" w:hAnsi="Courier New" w:cs="Courier New" w:hint="default"/>
      </w:rPr>
    </w:lvl>
    <w:lvl w:ilvl="2" w:tplc="10090005" w:tentative="1">
      <w:start w:val="1"/>
      <w:numFmt w:val="bullet"/>
      <w:lvlText w:val=""/>
      <w:lvlJc w:val="left"/>
      <w:pPr>
        <w:ind w:left="2331" w:hanging="360"/>
      </w:pPr>
      <w:rPr>
        <w:rFonts w:ascii="Wingdings" w:hAnsi="Wingdings" w:hint="default"/>
      </w:rPr>
    </w:lvl>
    <w:lvl w:ilvl="3" w:tplc="10090001" w:tentative="1">
      <w:start w:val="1"/>
      <w:numFmt w:val="bullet"/>
      <w:lvlText w:val=""/>
      <w:lvlJc w:val="left"/>
      <w:pPr>
        <w:ind w:left="3051" w:hanging="360"/>
      </w:pPr>
      <w:rPr>
        <w:rFonts w:ascii="Symbol" w:hAnsi="Symbol" w:hint="default"/>
      </w:rPr>
    </w:lvl>
    <w:lvl w:ilvl="4" w:tplc="10090003" w:tentative="1">
      <w:start w:val="1"/>
      <w:numFmt w:val="bullet"/>
      <w:lvlText w:val="o"/>
      <w:lvlJc w:val="left"/>
      <w:pPr>
        <w:ind w:left="3771" w:hanging="360"/>
      </w:pPr>
      <w:rPr>
        <w:rFonts w:ascii="Courier New" w:hAnsi="Courier New" w:cs="Courier New" w:hint="default"/>
      </w:rPr>
    </w:lvl>
    <w:lvl w:ilvl="5" w:tplc="10090005" w:tentative="1">
      <w:start w:val="1"/>
      <w:numFmt w:val="bullet"/>
      <w:lvlText w:val=""/>
      <w:lvlJc w:val="left"/>
      <w:pPr>
        <w:ind w:left="4491" w:hanging="360"/>
      </w:pPr>
      <w:rPr>
        <w:rFonts w:ascii="Wingdings" w:hAnsi="Wingdings" w:hint="default"/>
      </w:rPr>
    </w:lvl>
    <w:lvl w:ilvl="6" w:tplc="10090001" w:tentative="1">
      <w:start w:val="1"/>
      <w:numFmt w:val="bullet"/>
      <w:lvlText w:val=""/>
      <w:lvlJc w:val="left"/>
      <w:pPr>
        <w:ind w:left="5211" w:hanging="360"/>
      </w:pPr>
      <w:rPr>
        <w:rFonts w:ascii="Symbol" w:hAnsi="Symbol" w:hint="default"/>
      </w:rPr>
    </w:lvl>
    <w:lvl w:ilvl="7" w:tplc="10090003" w:tentative="1">
      <w:start w:val="1"/>
      <w:numFmt w:val="bullet"/>
      <w:lvlText w:val="o"/>
      <w:lvlJc w:val="left"/>
      <w:pPr>
        <w:ind w:left="5931" w:hanging="360"/>
      </w:pPr>
      <w:rPr>
        <w:rFonts w:ascii="Courier New" w:hAnsi="Courier New" w:cs="Courier New" w:hint="default"/>
      </w:rPr>
    </w:lvl>
    <w:lvl w:ilvl="8" w:tplc="10090005" w:tentative="1">
      <w:start w:val="1"/>
      <w:numFmt w:val="bullet"/>
      <w:lvlText w:val=""/>
      <w:lvlJc w:val="left"/>
      <w:pPr>
        <w:ind w:left="6651" w:hanging="360"/>
      </w:pPr>
      <w:rPr>
        <w:rFonts w:ascii="Wingdings" w:hAnsi="Wingdings" w:hint="default"/>
      </w:rPr>
    </w:lvl>
  </w:abstractNum>
  <w:abstractNum w:abstractNumId="20">
    <w:nsid w:val="6C0E30A3"/>
    <w:multiLevelType w:val="multilevel"/>
    <w:tmpl w:val="AE8A8094"/>
    <w:lvl w:ilvl="0">
      <w:start w:val="1"/>
      <w:numFmt w:val="decimal"/>
      <w:lvlText w:val="%1"/>
      <w:lvlJc w:val="left"/>
      <w:pPr>
        <w:ind w:left="432" w:hanging="432"/>
      </w:pPr>
    </w:lvl>
    <w:lvl w:ilv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05D633D"/>
    <w:multiLevelType w:val="hybridMultilevel"/>
    <w:tmpl w:val="BAB421F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70F248F3"/>
    <w:multiLevelType w:val="hybridMultilevel"/>
    <w:tmpl w:val="5644D2D8"/>
    <w:lvl w:ilvl="0" w:tplc="783C03EA">
      <w:start w:val="1"/>
      <w:numFmt w:val="decimal"/>
      <w:lvlText w:val="%1."/>
      <w:lvlJc w:val="left"/>
      <w:pPr>
        <w:ind w:left="720" w:hanging="360"/>
      </w:pPr>
      <w:rPr>
        <w:rFonts w:hint="default"/>
      </w:rPr>
    </w:lvl>
    <w:lvl w:ilvl="1" w:tplc="95765AD4" w:tentative="1">
      <w:start w:val="1"/>
      <w:numFmt w:val="lowerLetter"/>
      <w:lvlText w:val="%2."/>
      <w:lvlJc w:val="left"/>
      <w:pPr>
        <w:ind w:left="1440" w:hanging="360"/>
      </w:pPr>
    </w:lvl>
    <w:lvl w:ilvl="2" w:tplc="0F16241A" w:tentative="1">
      <w:start w:val="1"/>
      <w:numFmt w:val="lowerRoman"/>
      <w:lvlText w:val="%3."/>
      <w:lvlJc w:val="right"/>
      <w:pPr>
        <w:ind w:left="2160" w:hanging="180"/>
      </w:pPr>
    </w:lvl>
    <w:lvl w:ilvl="3" w:tplc="3ED26A82" w:tentative="1">
      <w:start w:val="1"/>
      <w:numFmt w:val="decimal"/>
      <w:lvlText w:val="%4."/>
      <w:lvlJc w:val="left"/>
      <w:pPr>
        <w:ind w:left="2880" w:hanging="360"/>
      </w:pPr>
    </w:lvl>
    <w:lvl w:ilvl="4" w:tplc="55D2AB92" w:tentative="1">
      <w:start w:val="1"/>
      <w:numFmt w:val="lowerLetter"/>
      <w:lvlText w:val="%5."/>
      <w:lvlJc w:val="left"/>
      <w:pPr>
        <w:ind w:left="3600" w:hanging="360"/>
      </w:pPr>
    </w:lvl>
    <w:lvl w:ilvl="5" w:tplc="762A9978" w:tentative="1">
      <w:start w:val="1"/>
      <w:numFmt w:val="lowerRoman"/>
      <w:lvlText w:val="%6."/>
      <w:lvlJc w:val="right"/>
      <w:pPr>
        <w:ind w:left="4320" w:hanging="180"/>
      </w:pPr>
    </w:lvl>
    <w:lvl w:ilvl="6" w:tplc="F87A0C8C" w:tentative="1">
      <w:start w:val="1"/>
      <w:numFmt w:val="decimal"/>
      <w:lvlText w:val="%7."/>
      <w:lvlJc w:val="left"/>
      <w:pPr>
        <w:ind w:left="5040" w:hanging="360"/>
      </w:pPr>
    </w:lvl>
    <w:lvl w:ilvl="7" w:tplc="B642A252" w:tentative="1">
      <w:start w:val="1"/>
      <w:numFmt w:val="lowerLetter"/>
      <w:lvlText w:val="%8."/>
      <w:lvlJc w:val="left"/>
      <w:pPr>
        <w:ind w:left="5760" w:hanging="360"/>
      </w:pPr>
    </w:lvl>
    <w:lvl w:ilvl="8" w:tplc="9BFCA3FC" w:tentative="1">
      <w:start w:val="1"/>
      <w:numFmt w:val="lowerRoman"/>
      <w:lvlText w:val="%9."/>
      <w:lvlJc w:val="right"/>
      <w:pPr>
        <w:ind w:left="6480" w:hanging="180"/>
      </w:pPr>
    </w:lvl>
  </w:abstractNum>
  <w:abstractNum w:abstractNumId="23">
    <w:nsid w:val="72E638D6"/>
    <w:multiLevelType w:val="hybridMultilevel"/>
    <w:tmpl w:val="489E2DE0"/>
    <w:lvl w:ilvl="0" w:tplc="1009000F">
      <w:start w:val="1"/>
      <w:numFmt w:val="decimal"/>
      <w:lvlText w:val="%1."/>
      <w:lvlJc w:val="left"/>
      <w:pPr>
        <w:ind w:left="1251" w:hanging="360"/>
      </w:pPr>
    </w:lvl>
    <w:lvl w:ilvl="1" w:tplc="10090019" w:tentative="1">
      <w:start w:val="1"/>
      <w:numFmt w:val="lowerLetter"/>
      <w:lvlText w:val="%2."/>
      <w:lvlJc w:val="left"/>
      <w:pPr>
        <w:ind w:left="1971" w:hanging="360"/>
      </w:pPr>
    </w:lvl>
    <w:lvl w:ilvl="2" w:tplc="1009001B" w:tentative="1">
      <w:start w:val="1"/>
      <w:numFmt w:val="lowerRoman"/>
      <w:lvlText w:val="%3."/>
      <w:lvlJc w:val="right"/>
      <w:pPr>
        <w:ind w:left="2691" w:hanging="180"/>
      </w:pPr>
    </w:lvl>
    <w:lvl w:ilvl="3" w:tplc="1009000F" w:tentative="1">
      <w:start w:val="1"/>
      <w:numFmt w:val="decimal"/>
      <w:lvlText w:val="%4."/>
      <w:lvlJc w:val="left"/>
      <w:pPr>
        <w:ind w:left="3411" w:hanging="360"/>
      </w:pPr>
    </w:lvl>
    <w:lvl w:ilvl="4" w:tplc="10090019" w:tentative="1">
      <w:start w:val="1"/>
      <w:numFmt w:val="lowerLetter"/>
      <w:lvlText w:val="%5."/>
      <w:lvlJc w:val="left"/>
      <w:pPr>
        <w:ind w:left="4131" w:hanging="360"/>
      </w:pPr>
    </w:lvl>
    <w:lvl w:ilvl="5" w:tplc="1009001B" w:tentative="1">
      <w:start w:val="1"/>
      <w:numFmt w:val="lowerRoman"/>
      <w:lvlText w:val="%6."/>
      <w:lvlJc w:val="right"/>
      <w:pPr>
        <w:ind w:left="4851" w:hanging="180"/>
      </w:pPr>
    </w:lvl>
    <w:lvl w:ilvl="6" w:tplc="1009000F" w:tentative="1">
      <w:start w:val="1"/>
      <w:numFmt w:val="decimal"/>
      <w:lvlText w:val="%7."/>
      <w:lvlJc w:val="left"/>
      <w:pPr>
        <w:ind w:left="5571" w:hanging="360"/>
      </w:pPr>
    </w:lvl>
    <w:lvl w:ilvl="7" w:tplc="10090019" w:tentative="1">
      <w:start w:val="1"/>
      <w:numFmt w:val="lowerLetter"/>
      <w:lvlText w:val="%8."/>
      <w:lvlJc w:val="left"/>
      <w:pPr>
        <w:ind w:left="6291" w:hanging="360"/>
      </w:pPr>
    </w:lvl>
    <w:lvl w:ilvl="8" w:tplc="1009001B" w:tentative="1">
      <w:start w:val="1"/>
      <w:numFmt w:val="lowerRoman"/>
      <w:lvlText w:val="%9."/>
      <w:lvlJc w:val="right"/>
      <w:pPr>
        <w:ind w:left="7011" w:hanging="180"/>
      </w:pPr>
    </w:lvl>
  </w:abstractNum>
  <w:abstractNum w:abstractNumId="24">
    <w:nsid w:val="72FE5517"/>
    <w:multiLevelType w:val="hybridMultilevel"/>
    <w:tmpl w:val="32901D94"/>
    <w:lvl w:ilvl="0" w:tplc="814253F0">
      <w:start w:val="1"/>
      <w:numFmt w:val="lowerLetter"/>
      <w:lvlText w:val="%1)"/>
      <w:lvlJc w:val="left"/>
      <w:pPr>
        <w:ind w:left="720" w:hanging="360"/>
      </w:pPr>
    </w:lvl>
    <w:lvl w:ilvl="1" w:tplc="910C0ACE" w:tentative="1">
      <w:start w:val="1"/>
      <w:numFmt w:val="lowerLetter"/>
      <w:lvlText w:val="%2."/>
      <w:lvlJc w:val="left"/>
      <w:pPr>
        <w:ind w:left="1440" w:hanging="360"/>
      </w:pPr>
    </w:lvl>
    <w:lvl w:ilvl="2" w:tplc="EFE276A0" w:tentative="1">
      <w:start w:val="1"/>
      <w:numFmt w:val="lowerRoman"/>
      <w:lvlText w:val="%3."/>
      <w:lvlJc w:val="right"/>
      <w:pPr>
        <w:ind w:left="2160" w:hanging="180"/>
      </w:pPr>
    </w:lvl>
    <w:lvl w:ilvl="3" w:tplc="3CC47DA6" w:tentative="1">
      <w:start w:val="1"/>
      <w:numFmt w:val="decimal"/>
      <w:lvlText w:val="%4."/>
      <w:lvlJc w:val="left"/>
      <w:pPr>
        <w:ind w:left="2880" w:hanging="360"/>
      </w:pPr>
    </w:lvl>
    <w:lvl w:ilvl="4" w:tplc="B6B86058" w:tentative="1">
      <w:start w:val="1"/>
      <w:numFmt w:val="lowerLetter"/>
      <w:lvlText w:val="%5."/>
      <w:lvlJc w:val="left"/>
      <w:pPr>
        <w:ind w:left="3600" w:hanging="360"/>
      </w:pPr>
    </w:lvl>
    <w:lvl w:ilvl="5" w:tplc="994EE4DA" w:tentative="1">
      <w:start w:val="1"/>
      <w:numFmt w:val="lowerRoman"/>
      <w:lvlText w:val="%6."/>
      <w:lvlJc w:val="right"/>
      <w:pPr>
        <w:ind w:left="4320" w:hanging="180"/>
      </w:pPr>
    </w:lvl>
    <w:lvl w:ilvl="6" w:tplc="2766E8C4" w:tentative="1">
      <w:start w:val="1"/>
      <w:numFmt w:val="decimal"/>
      <w:lvlText w:val="%7."/>
      <w:lvlJc w:val="left"/>
      <w:pPr>
        <w:ind w:left="5040" w:hanging="360"/>
      </w:pPr>
    </w:lvl>
    <w:lvl w:ilvl="7" w:tplc="66DC6D46" w:tentative="1">
      <w:start w:val="1"/>
      <w:numFmt w:val="lowerLetter"/>
      <w:lvlText w:val="%8."/>
      <w:lvlJc w:val="left"/>
      <w:pPr>
        <w:ind w:left="5760" w:hanging="360"/>
      </w:pPr>
    </w:lvl>
    <w:lvl w:ilvl="8" w:tplc="8866148A" w:tentative="1">
      <w:start w:val="1"/>
      <w:numFmt w:val="lowerRoman"/>
      <w:lvlText w:val="%9."/>
      <w:lvlJc w:val="right"/>
      <w:pPr>
        <w:ind w:left="6480" w:hanging="180"/>
      </w:pPr>
    </w:lvl>
  </w:abstractNum>
  <w:abstractNum w:abstractNumId="25">
    <w:nsid w:val="78ED7BC9"/>
    <w:multiLevelType w:val="hybridMultilevel"/>
    <w:tmpl w:val="5742FA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2"/>
  </w:num>
  <w:num w:numId="3">
    <w:abstractNumId w:val="2"/>
    <w:lvlOverride w:ilvl="0"/>
    <w:lvlOverride w:ilvl="1">
      <w:startOverride w:val="1"/>
    </w:lvlOverride>
  </w:num>
  <w:num w:numId="4">
    <w:abstractNumId w:val="2"/>
    <w:lvlOverride w:ilvl="0"/>
    <w:lvlOverride w:ilvl="1">
      <w:startOverride w:val="2"/>
    </w:lvlOverride>
  </w:num>
  <w:num w:numId="5">
    <w:abstractNumId w:val="2"/>
    <w:lvlOverride w:ilvl="0"/>
    <w:lvlOverride w:ilvl="1">
      <w:startOverride w:val="3"/>
    </w:lvlOverride>
  </w:num>
  <w:num w:numId="6">
    <w:abstractNumId w:val="7"/>
  </w:num>
  <w:num w:numId="7">
    <w:abstractNumId w:val="10"/>
  </w:num>
  <w:num w:numId="8">
    <w:abstractNumId w:val="6"/>
  </w:num>
  <w:num w:numId="9">
    <w:abstractNumId w:val="1"/>
    <w:lvlOverride w:ilvl="0">
      <w:startOverride w:val="1"/>
    </w:lvlOverride>
  </w:num>
  <w:num w:numId="10">
    <w:abstractNumId w:val="1"/>
    <w:lvlOverride w:ilvl="0">
      <w:startOverride w:val="2"/>
    </w:lvlOverride>
  </w:num>
  <w:num w:numId="11">
    <w:abstractNumId w:val="1"/>
  </w:num>
  <w:num w:numId="12">
    <w:abstractNumId w:val="24"/>
  </w:num>
  <w:num w:numId="13">
    <w:abstractNumId w:val="0"/>
  </w:num>
  <w:num w:numId="14">
    <w:abstractNumId w:val="4"/>
  </w:num>
  <w:num w:numId="15">
    <w:abstractNumId w:val="11"/>
  </w:num>
  <w:num w:numId="16">
    <w:abstractNumId w:val="20"/>
  </w:num>
  <w:num w:numId="17">
    <w:abstractNumId w:val="16"/>
  </w:num>
  <w:num w:numId="18">
    <w:abstractNumId w:val="14"/>
  </w:num>
  <w:num w:numId="19">
    <w:abstractNumId w:val="15"/>
  </w:num>
  <w:num w:numId="20">
    <w:abstractNumId w:val="8"/>
  </w:num>
  <w:num w:numId="21">
    <w:abstractNumId w:val="21"/>
  </w:num>
  <w:num w:numId="22">
    <w:abstractNumId w:val="3"/>
  </w:num>
  <w:num w:numId="23">
    <w:abstractNumId w:val="25"/>
  </w:num>
  <w:num w:numId="24">
    <w:abstractNumId w:val="17"/>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19"/>
  </w:num>
  <w:num w:numId="30">
    <w:abstractNumId w:val="23"/>
  </w:num>
  <w:num w:numId="31">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4F77A5"/>
    <w:rsid w:val="00000822"/>
    <w:rsid w:val="0004412D"/>
    <w:rsid w:val="000464DD"/>
    <w:rsid w:val="0005471E"/>
    <w:rsid w:val="000605B8"/>
    <w:rsid w:val="00062844"/>
    <w:rsid w:val="0006371B"/>
    <w:rsid w:val="000822E2"/>
    <w:rsid w:val="00083432"/>
    <w:rsid w:val="00087A28"/>
    <w:rsid w:val="000A2378"/>
    <w:rsid w:val="000B0B83"/>
    <w:rsid w:val="000B1952"/>
    <w:rsid w:val="000B47C4"/>
    <w:rsid w:val="000C6C1F"/>
    <w:rsid w:val="000D37DF"/>
    <w:rsid w:val="000E66BF"/>
    <w:rsid w:val="000F0300"/>
    <w:rsid w:val="000F43F1"/>
    <w:rsid w:val="00102C5C"/>
    <w:rsid w:val="001047BE"/>
    <w:rsid w:val="00114A15"/>
    <w:rsid w:val="00114F09"/>
    <w:rsid w:val="00115E8F"/>
    <w:rsid w:val="001165B4"/>
    <w:rsid w:val="0012323E"/>
    <w:rsid w:val="00127370"/>
    <w:rsid w:val="00131D6E"/>
    <w:rsid w:val="00144FF4"/>
    <w:rsid w:val="00153D21"/>
    <w:rsid w:val="00163EB1"/>
    <w:rsid w:val="001723AE"/>
    <w:rsid w:val="00177043"/>
    <w:rsid w:val="001817AE"/>
    <w:rsid w:val="001848E1"/>
    <w:rsid w:val="001853C7"/>
    <w:rsid w:val="00190DCB"/>
    <w:rsid w:val="001A3370"/>
    <w:rsid w:val="001A4FA9"/>
    <w:rsid w:val="001A6858"/>
    <w:rsid w:val="001B2323"/>
    <w:rsid w:val="001C2D20"/>
    <w:rsid w:val="001E00F9"/>
    <w:rsid w:val="001E59F1"/>
    <w:rsid w:val="002048A6"/>
    <w:rsid w:val="00207B23"/>
    <w:rsid w:val="00213E15"/>
    <w:rsid w:val="0022240B"/>
    <w:rsid w:val="002231D2"/>
    <w:rsid w:val="00231E3D"/>
    <w:rsid w:val="002322EF"/>
    <w:rsid w:val="00232778"/>
    <w:rsid w:val="00234B37"/>
    <w:rsid w:val="00240D33"/>
    <w:rsid w:val="00242F93"/>
    <w:rsid w:val="00244E4B"/>
    <w:rsid w:val="00253E21"/>
    <w:rsid w:val="00255AB2"/>
    <w:rsid w:val="00256ED1"/>
    <w:rsid w:val="00261004"/>
    <w:rsid w:val="00275770"/>
    <w:rsid w:val="00284AB9"/>
    <w:rsid w:val="002872B0"/>
    <w:rsid w:val="00287393"/>
    <w:rsid w:val="00295174"/>
    <w:rsid w:val="002A2A2B"/>
    <w:rsid w:val="002A6210"/>
    <w:rsid w:val="002B166C"/>
    <w:rsid w:val="002B1EE5"/>
    <w:rsid w:val="002B2423"/>
    <w:rsid w:val="002B4E44"/>
    <w:rsid w:val="002B6EEA"/>
    <w:rsid w:val="002C29AF"/>
    <w:rsid w:val="002C2A3D"/>
    <w:rsid w:val="002C7167"/>
    <w:rsid w:val="002E0479"/>
    <w:rsid w:val="002E37FE"/>
    <w:rsid w:val="002E3A94"/>
    <w:rsid w:val="002E6AEC"/>
    <w:rsid w:val="002F5F9E"/>
    <w:rsid w:val="0030290A"/>
    <w:rsid w:val="003029CF"/>
    <w:rsid w:val="00302DEB"/>
    <w:rsid w:val="003074B7"/>
    <w:rsid w:val="0031087B"/>
    <w:rsid w:val="0031274A"/>
    <w:rsid w:val="003148FB"/>
    <w:rsid w:val="003172BF"/>
    <w:rsid w:val="0032134F"/>
    <w:rsid w:val="00321B20"/>
    <w:rsid w:val="003262E1"/>
    <w:rsid w:val="00333803"/>
    <w:rsid w:val="003354CD"/>
    <w:rsid w:val="00336888"/>
    <w:rsid w:val="00343CFE"/>
    <w:rsid w:val="00347C89"/>
    <w:rsid w:val="00353016"/>
    <w:rsid w:val="00360F9E"/>
    <w:rsid w:val="003651D7"/>
    <w:rsid w:val="00365266"/>
    <w:rsid w:val="003676B9"/>
    <w:rsid w:val="00372919"/>
    <w:rsid w:val="003805F4"/>
    <w:rsid w:val="003821E5"/>
    <w:rsid w:val="003A135E"/>
    <w:rsid w:val="003B1C37"/>
    <w:rsid w:val="003B238C"/>
    <w:rsid w:val="003B55AA"/>
    <w:rsid w:val="003C156B"/>
    <w:rsid w:val="003D23FD"/>
    <w:rsid w:val="003D75C3"/>
    <w:rsid w:val="003E317D"/>
    <w:rsid w:val="003E356C"/>
    <w:rsid w:val="003F2246"/>
    <w:rsid w:val="003F2A16"/>
    <w:rsid w:val="003F4792"/>
    <w:rsid w:val="0041130B"/>
    <w:rsid w:val="00412430"/>
    <w:rsid w:val="00415F3A"/>
    <w:rsid w:val="004171F7"/>
    <w:rsid w:val="00422550"/>
    <w:rsid w:val="00424033"/>
    <w:rsid w:val="0042487F"/>
    <w:rsid w:val="00426FE4"/>
    <w:rsid w:val="00431408"/>
    <w:rsid w:val="00436E4F"/>
    <w:rsid w:val="00440061"/>
    <w:rsid w:val="004419D4"/>
    <w:rsid w:val="00444D1B"/>
    <w:rsid w:val="00446892"/>
    <w:rsid w:val="00467857"/>
    <w:rsid w:val="00480A0D"/>
    <w:rsid w:val="00490769"/>
    <w:rsid w:val="00493017"/>
    <w:rsid w:val="004949DA"/>
    <w:rsid w:val="00496895"/>
    <w:rsid w:val="00496AC3"/>
    <w:rsid w:val="004A217E"/>
    <w:rsid w:val="004A5581"/>
    <w:rsid w:val="004B1F3F"/>
    <w:rsid w:val="004B2D97"/>
    <w:rsid w:val="004B3111"/>
    <w:rsid w:val="004B7F43"/>
    <w:rsid w:val="004D2C16"/>
    <w:rsid w:val="004E6FA8"/>
    <w:rsid w:val="004F4203"/>
    <w:rsid w:val="004F6E27"/>
    <w:rsid w:val="004F77A5"/>
    <w:rsid w:val="00500891"/>
    <w:rsid w:val="005059BA"/>
    <w:rsid w:val="00510CC9"/>
    <w:rsid w:val="00522A90"/>
    <w:rsid w:val="00524F74"/>
    <w:rsid w:val="00532FD7"/>
    <w:rsid w:val="00551DBC"/>
    <w:rsid w:val="0055292E"/>
    <w:rsid w:val="00553D03"/>
    <w:rsid w:val="00567EA9"/>
    <w:rsid w:val="005737F4"/>
    <w:rsid w:val="005802B8"/>
    <w:rsid w:val="0058556B"/>
    <w:rsid w:val="005909F5"/>
    <w:rsid w:val="005919A2"/>
    <w:rsid w:val="0059453C"/>
    <w:rsid w:val="00595A76"/>
    <w:rsid w:val="00596AA5"/>
    <w:rsid w:val="005B21B8"/>
    <w:rsid w:val="005B2DDA"/>
    <w:rsid w:val="005C00D3"/>
    <w:rsid w:val="005C736D"/>
    <w:rsid w:val="005D3484"/>
    <w:rsid w:val="005E0E51"/>
    <w:rsid w:val="005F083B"/>
    <w:rsid w:val="00603C79"/>
    <w:rsid w:val="00616AAC"/>
    <w:rsid w:val="006210F6"/>
    <w:rsid w:val="006243F8"/>
    <w:rsid w:val="00625160"/>
    <w:rsid w:val="00632EB7"/>
    <w:rsid w:val="0063304E"/>
    <w:rsid w:val="00637FDC"/>
    <w:rsid w:val="0064062B"/>
    <w:rsid w:val="00640D4B"/>
    <w:rsid w:val="00643669"/>
    <w:rsid w:val="00644F99"/>
    <w:rsid w:val="006745CE"/>
    <w:rsid w:val="00676780"/>
    <w:rsid w:val="00681DF1"/>
    <w:rsid w:val="006852F7"/>
    <w:rsid w:val="006856B1"/>
    <w:rsid w:val="00685AF4"/>
    <w:rsid w:val="00691A12"/>
    <w:rsid w:val="006A3A1C"/>
    <w:rsid w:val="006A3D1F"/>
    <w:rsid w:val="006A75A7"/>
    <w:rsid w:val="006C0B5F"/>
    <w:rsid w:val="006C16F1"/>
    <w:rsid w:val="006C1C6F"/>
    <w:rsid w:val="006C790E"/>
    <w:rsid w:val="006D3CB4"/>
    <w:rsid w:val="006D73B2"/>
    <w:rsid w:val="006E0C0D"/>
    <w:rsid w:val="006E20A0"/>
    <w:rsid w:val="006E2B9F"/>
    <w:rsid w:val="006E789D"/>
    <w:rsid w:val="006F3AEA"/>
    <w:rsid w:val="00702861"/>
    <w:rsid w:val="00703350"/>
    <w:rsid w:val="00711052"/>
    <w:rsid w:val="0072220B"/>
    <w:rsid w:val="007268F4"/>
    <w:rsid w:val="007278F9"/>
    <w:rsid w:val="00731813"/>
    <w:rsid w:val="0074155F"/>
    <w:rsid w:val="0074170E"/>
    <w:rsid w:val="00746FE5"/>
    <w:rsid w:val="00752F07"/>
    <w:rsid w:val="0075612F"/>
    <w:rsid w:val="007606AD"/>
    <w:rsid w:val="007619E8"/>
    <w:rsid w:val="00771EE3"/>
    <w:rsid w:val="007723EA"/>
    <w:rsid w:val="00773F55"/>
    <w:rsid w:val="007A10AD"/>
    <w:rsid w:val="007A660B"/>
    <w:rsid w:val="007A7365"/>
    <w:rsid w:val="007A73FB"/>
    <w:rsid w:val="007B265D"/>
    <w:rsid w:val="007C1CF6"/>
    <w:rsid w:val="007E1338"/>
    <w:rsid w:val="007E1CCC"/>
    <w:rsid w:val="007E6909"/>
    <w:rsid w:val="007E74E6"/>
    <w:rsid w:val="007F113A"/>
    <w:rsid w:val="007F52B3"/>
    <w:rsid w:val="00812400"/>
    <w:rsid w:val="008130ED"/>
    <w:rsid w:val="00836E72"/>
    <w:rsid w:val="00843D0F"/>
    <w:rsid w:val="00847868"/>
    <w:rsid w:val="00857D1C"/>
    <w:rsid w:val="00863B37"/>
    <w:rsid w:val="008709DB"/>
    <w:rsid w:val="00870B2D"/>
    <w:rsid w:val="00874246"/>
    <w:rsid w:val="00877E23"/>
    <w:rsid w:val="008808E1"/>
    <w:rsid w:val="00881206"/>
    <w:rsid w:val="00884A22"/>
    <w:rsid w:val="00890804"/>
    <w:rsid w:val="00891FCE"/>
    <w:rsid w:val="008A0987"/>
    <w:rsid w:val="008A21D6"/>
    <w:rsid w:val="008A3C81"/>
    <w:rsid w:val="008A5AD0"/>
    <w:rsid w:val="008B1B94"/>
    <w:rsid w:val="008D1C3C"/>
    <w:rsid w:val="008D1D7C"/>
    <w:rsid w:val="008D21F4"/>
    <w:rsid w:val="008D42C7"/>
    <w:rsid w:val="008D4C3E"/>
    <w:rsid w:val="008E305E"/>
    <w:rsid w:val="008E360B"/>
    <w:rsid w:val="008E4967"/>
    <w:rsid w:val="008E4C84"/>
    <w:rsid w:val="008E5A58"/>
    <w:rsid w:val="008F173D"/>
    <w:rsid w:val="008F2713"/>
    <w:rsid w:val="008F297A"/>
    <w:rsid w:val="00907D9F"/>
    <w:rsid w:val="009168DC"/>
    <w:rsid w:val="00921F00"/>
    <w:rsid w:val="00922CFD"/>
    <w:rsid w:val="009300DB"/>
    <w:rsid w:val="00943D0A"/>
    <w:rsid w:val="00952735"/>
    <w:rsid w:val="00961C2F"/>
    <w:rsid w:val="00962031"/>
    <w:rsid w:val="00974DE4"/>
    <w:rsid w:val="00980FDE"/>
    <w:rsid w:val="00984A68"/>
    <w:rsid w:val="00987E26"/>
    <w:rsid w:val="00991FF0"/>
    <w:rsid w:val="009A576A"/>
    <w:rsid w:val="009A757F"/>
    <w:rsid w:val="009B6C4B"/>
    <w:rsid w:val="009C44CD"/>
    <w:rsid w:val="009C47E3"/>
    <w:rsid w:val="009E0D31"/>
    <w:rsid w:val="009E4D11"/>
    <w:rsid w:val="009F485B"/>
    <w:rsid w:val="00A009A1"/>
    <w:rsid w:val="00A06DB2"/>
    <w:rsid w:val="00A20C94"/>
    <w:rsid w:val="00A32885"/>
    <w:rsid w:val="00A34FCA"/>
    <w:rsid w:val="00A46D82"/>
    <w:rsid w:val="00A675AC"/>
    <w:rsid w:val="00A77994"/>
    <w:rsid w:val="00A841A2"/>
    <w:rsid w:val="00A94770"/>
    <w:rsid w:val="00AB3B8E"/>
    <w:rsid w:val="00AB4292"/>
    <w:rsid w:val="00AB4AA0"/>
    <w:rsid w:val="00AC1142"/>
    <w:rsid w:val="00AC1337"/>
    <w:rsid w:val="00AC1452"/>
    <w:rsid w:val="00AC1A58"/>
    <w:rsid w:val="00AC48AE"/>
    <w:rsid w:val="00AC4D62"/>
    <w:rsid w:val="00AE11FA"/>
    <w:rsid w:val="00AE2A05"/>
    <w:rsid w:val="00AE5F56"/>
    <w:rsid w:val="00AF044A"/>
    <w:rsid w:val="00AF37C5"/>
    <w:rsid w:val="00B02F82"/>
    <w:rsid w:val="00B100F0"/>
    <w:rsid w:val="00B13466"/>
    <w:rsid w:val="00B22303"/>
    <w:rsid w:val="00B22C8C"/>
    <w:rsid w:val="00B23D73"/>
    <w:rsid w:val="00B24B16"/>
    <w:rsid w:val="00B255FA"/>
    <w:rsid w:val="00B363C7"/>
    <w:rsid w:val="00B36FAC"/>
    <w:rsid w:val="00B53593"/>
    <w:rsid w:val="00B538FA"/>
    <w:rsid w:val="00B55145"/>
    <w:rsid w:val="00B624D2"/>
    <w:rsid w:val="00B647FA"/>
    <w:rsid w:val="00B65B2E"/>
    <w:rsid w:val="00B85887"/>
    <w:rsid w:val="00B91540"/>
    <w:rsid w:val="00B97D4E"/>
    <w:rsid w:val="00BA2ED9"/>
    <w:rsid w:val="00BA6C07"/>
    <w:rsid w:val="00BB01A2"/>
    <w:rsid w:val="00BB1DE2"/>
    <w:rsid w:val="00BB62C6"/>
    <w:rsid w:val="00BD00B1"/>
    <w:rsid w:val="00BD7E41"/>
    <w:rsid w:val="00BE1EBA"/>
    <w:rsid w:val="00C04DB2"/>
    <w:rsid w:val="00C0621B"/>
    <w:rsid w:val="00C07350"/>
    <w:rsid w:val="00C17FC0"/>
    <w:rsid w:val="00C3005A"/>
    <w:rsid w:val="00C3574F"/>
    <w:rsid w:val="00C41AB2"/>
    <w:rsid w:val="00C447B4"/>
    <w:rsid w:val="00C46B82"/>
    <w:rsid w:val="00C55DAC"/>
    <w:rsid w:val="00C55EA8"/>
    <w:rsid w:val="00C57877"/>
    <w:rsid w:val="00C65AE5"/>
    <w:rsid w:val="00C7028B"/>
    <w:rsid w:val="00C71179"/>
    <w:rsid w:val="00C74DD8"/>
    <w:rsid w:val="00C772BC"/>
    <w:rsid w:val="00C85A45"/>
    <w:rsid w:val="00C9187E"/>
    <w:rsid w:val="00CA1276"/>
    <w:rsid w:val="00CC3B30"/>
    <w:rsid w:val="00CC45D7"/>
    <w:rsid w:val="00CD02A5"/>
    <w:rsid w:val="00CD2F13"/>
    <w:rsid w:val="00CE26B3"/>
    <w:rsid w:val="00CE3EAB"/>
    <w:rsid w:val="00CE5CF0"/>
    <w:rsid w:val="00CE6317"/>
    <w:rsid w:val="00CF7CB5"/>
    <w:rsid w:val="00D00162"/>
    <w:rsid w:val="00D03FAC"/>
    <w:rsid w:val="00D07F21"/>
    <w:rsid w:val="00D222F4"/>
    <w:rsid w:val="00D522D0"/>
    <w:rsid w:val="00D542F8"/>
    <w:rsid w:val="00D61903"/>
    <w:rsid w:val="00D638E4"/>
    <w:rsid w:val="00D70E94"/>
    <w:rsid w:val="00D71BDD"/>
    <w:rsid w:val="00D71EB9"/>
    <w:rsid w:val="00D76919"/>
    <w:rsid w:val="00D906A8"/>
    <w:rsid w:val="00D927F0"/>
    <w:rsid w:val="00DA0A31"/>
    <w:rsid w:val="00DA418B"/>
    <w:rsid w:val="00DB4E1A"/>
    <w:rsid w:val="00DB63EC"/>
    <w:rsid w:val="00DC4BDC"/>
    <w:rsid w:val="00DC4CC3"/>
    <w:rsid w:val="00DC4EE6"/>
    <w:rsid w:val="00DC6769"/>
    <w:rsid w:val="00DC6F8B"/>
    <w:rsid w:val="00DD6A3A"/>
    <w:rsid w:val="00DD6FE7"/>
    <w:rsid w:val="00DF07A4"/>
    <w:rsid w:val="00DF4292"/>
    <w:rsid w:val="00DF6DEB"/>
    <w:rsid w:val="00E03121"/>
    <w:rsid w:val="00E136AE"/>
    <w:rsid w:val="00E14B3B"/>
    <w:rsid w:val="00E15383"/>
    <w:rsid w:val="00E25FCF"/>
    <w:rsid w:val="00E334AD"/>
    <w:rsid w:val="00E35B27"/>
    <w:rsid w:val="00E42C32"/>
    <w:rsid w:val="00E45B5B"/>
    <w:rsid w:val="00E5758B"/>
    <w:rsid w:val="00E6218B"/>
    <w:rsid w:val="00E64602"/>
    <w:rsid w:val="00E67700"/>
    <w:rsid w:val="00E74619"/>
    <w:rsid w:val="00E75893"/>
    <w:rsid w:val="00E766B4"/>
    <w:rsid w:val="00E85655"/>
    <w:rsid w:val="00EA4608"/>
    <w:rsid w:val="00EB53DC"/>
    <w:rsid w:val="00EC6764"/>
    <w:rsid w:val="00ED7F87"/>
    <w:rsid w:val="00EE1457"/>
    <w:rsid w:val="00EE39FE"/>
    <w:rsid w:val="00EE60F2"/>
    <w:rsid w:val="00EF7715"/>
    <w:rsid w:val="00F046F8"/>
    <w:rsid w:val="00F1502A"/>
    <w:rsid w:val="00F306A0"/>
    <w:rsid w:val="00F427ED"/>
    <w:rsid w:val="00F4555C"/>
    <w:rsid w:val="00F515CF"/>
    <w:rsid w:val="00F67B3A"/>
    <w:rsid w:val="00F77304"/>
    <w:rsid w:val="00F77707"/>
    <w:rsid w:val="00F85506"/>
    <w:rsid w:val="00FA005C"/>
    <w:rsid w:val="00FA1802"/>
    <w:rsid w:val="00FA2F4F"/>
    <w:rsid w:val="00FA4BE3"/>
    <w:rsid w:val="00FA6D76"/>
    <w:rsid w:val="00FB4076"/>
    <w:rsid w:val="00FC0C3B"/>
    <w:rsid w:val="00FC6B9E"/>
    <w:rsid w:val="00FC7524"/>
    <w:rsid w:val="00FD2682"/>
    <w:rsid w:val="00FE1AAC"/>
    <w:rsid w:val="00FE4575"/>
    <w:rsid w:val="00FE52D4"/>
    <w:rsid w:val="00FF4ECA"/>
    <w:rsid w:val="00FF64E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B8"/>
    <w:pPr>
      <w:spacing w:after="120"/>
    </w:pPr>
    <w:rPr>
      <w:rFonts w:ascii="Arial" w:hAnsi="Arial" w:cs="Arial"/>
      <w:szCs w:val="24"/>
    </w:rPr>
  </w:style>
  <w:style w:type="paragraph" w:styleId="Heading1">
    <w:name w:val="heading 1"/>
    <w:basedOn w:val="Normal"/>
    <w:next w:val="Normal"/>
    <w:link w:val="Heading1Char"/>
    <w:qFormat/>
    <w:rsid w:val="002B1EE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2B1E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rsid w:val="00B36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D07F21"/>
    <w:pPr>
      <w:tabs>
        <w:tab w:val="left" w:pos="2070"/>
      </w:tabs>
      <w:autoSpaceDE w:val="0"/>
      <w:autoSpaceDN w:val="0"/>
      <w:adjustRightInd w:val="0"/>
      <w:spacing w:before="120" w:after="0"/>
      <w:ind w:left="864" w:hanging="864"/>
      <w:outlineLvl w:val="3"/>
    </w:pPr>
    <w:rPr>
      <w:szCs w:val="20"/>
    </w:rPr>
  </w:style>
  <w:style w:type="paragraph" w:styleId="Heading5">
    <w:name w:val="heading 5"/>
    <w:basedOn w:val="Normal"/>
    <w:next w:val="Normal"/>
    <w:link w:val="Heading5Char"/>
    <w:uiPriority w:val="9"/>
    <w:semiHidden/>
    <w:unhideWhenUsed/>
    <w:qFormat/>
    <w:rsid w:val="00D07F21"/>
    <w:pPr>
      <w:keepNext/>
      <w:keepLines/>
      <w:overflowPunct w:val="0"/>
      <w:autoSpaceDE w:val="0"/>
      <w:autoSpaceDN w:val="0"/>
      <w:adjustRightInd w:val="0"/>
      <w:spacing w:before="200" w:after="0"/>
      <w:ind w:left="1008" w:hanging="1008"/>
      <w:textAlignment w:val="baseline"/>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unhideWhenUsed/>
    <w:qFormat/>
    <w:rsid w:val="00D07F21"/>
    <w:pPr>
      <w:keepNext/>
      <w:keepLines/>
      <w:overflowPunct w:val="0"/>
      <w:autoSpaceDE w:val="0"/>
      <w:autoSpaceDN w:val="0"/>
      <w:adjustRightInd w:val="0"/>
      <w:spacing w:before="200" w:after="0"/>
      <w:ind w:left="1152" w:hanging="1152"/>
      <w:textAlignment w:val="baseline"/>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unhideWhenUsed/>
    <w:qFormat/>
    <w:rsid w:val="00D07F21"/>
    <w:pPr>
      <w:keepNext/>
      <w:keepLines/>
      <w:overflowPunct w:val="0"/>
      <w:autoSpaceDE w:val="0"/>
      <w:autoSpaceDN w:val="0"/>
      <w:adjustRightInd w:val="0"/>
      <w:spacing w:before="200" w:after="0"/>
      <w:ind w:left="1296" w:hanging="1296"/>
      <w:textAlignment w:val="baseline"/>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D07F21"/>
    <w:pPr>
      <w:keepNext/>
      <w:keepLines/>
      <w:overflowPunct w:val="0"/>
      <w:autoSpaceDE w:val="0"/>
      <w:autoSpaceDN w:val="0"/>
      <w:adjustRightInd w:val="0"/>
      <w:spacing w:before="200" w:after="0"/>
      <w:ind w:left="1440" w:hanging="1440"/>
      <w:textAlignment w:val="baseline"/>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7F21"/>
    <w:pPr>
      <w:keepNext/>
      <w:keepLines/>
      <w:overflowPunct w:val="0"/>
      <w:autoSpaceDE w:val="0"/>
      <w:autoSpaceDN w:val="0"/>
      <w:adjustRightInd w:val="0"/>
      <w:spacing w:before="200" w:after="0"/>
      <w:ind w:left="1584" w:hanging="1584"/>
      <w:textAlignment w:val="baseline"/>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EE5"/>
    <w:rPr>
      <w:rFonts w:ascii="Cambria" w:eastAsia="Times New Roman" w:hAnsi="Cambria" w:cs="Times New Roman"/>
      <w:b/>
      <w:bCs/>
      <w:kern w:val="32"/>
      <w:sz w:val="32"/>
      <w:szCs w:val="32"/>
      <w:lang w:val="fr-CA" w:eastAsia="fr-CA"/>
    </w:rPr>
  </w:style>
  <w:style w:type="character" w:customStyle="1" w:styleId="Heading2Char">
    <w:name w:val="Heading 2 Char"/>
    <w:basedOn w:val="DefaultParagraphFont"/>
    <w:link w:val="Heading2"/>
    <w:uiPriority w:val="9"/>
    <w:rsid w:val="002B1EE5"/>
    <w:rPr>
      <w:rFonts w:ascii="Cambria" w:eastAsia="Times New Roman" w:hAnsi="Cambria" w:cs="Times New Roman"/>
      <w:b/>
      <w:bCs/>
      <w:i/>
      <w:iCs/>
      <w:sz w:val="28"/>
      <w:szCs w:val="28"/>
      <w:lang w:val="fr-CA" w:eastAsia="fr-CA"/>
    </w:rPr>
  </w:style>
  <w:style w:type="character" w:customStyle="1" w:styleId="Heading3Char">
    <w:name w:val="Heading 3 Char"/>
    <w:basedOn w:val="DefaultParagraphFont"/>
    <w:link w:val="Heading3"/>
    <w:rsid w:val="00B363C7"/>
    <w:rPr>
      <w:rFonts w:asciiTheme="majorHAnsi" w:eastAsiaTheme="majorEastAsia" w:hAnsiTheme="majorHAnsi" w:cstheme="majorBidi"/>
      <w:b/>
      <w:bCs/>
      <w:color w:val="4F81BD" w:themeColor="accent1"/>
      <w:szCs w:val="24"/>
      <w:lang w:val="fr-CA" w:eastAsia="fr-CA"/>
    </w:rPr>
  </w:style>
  <w:style w:type="character" w:customStyle="1" w:styleId="Heading4Char">
    <w:name w:val="Heading 4 Char"/>
    <w:basedOn w:val="DefaultParagraphFont"/>
    <w:link w:val="Heading4"/>
    <w:rsid w:val="00D07F21"/>
    <w:rPr>
      <w:rFonts w:ascii="Arial" w:hAnsi="Arial" w:cs="Arial"/>
    </w:rPr>
  </w:style>
  <w:style w:type="character" w:customStyle="1" w:styleId="Heading5Char">
    <w:name w:val="Heading 5 Char"/>
    <w:basedOn w:val="DefaultParagraphFont"/>
    <w:link w:val="Heading5"/>
    <w:uiPriority w:val="9"/>
    <w:semiHidden/>
    <w:rsid w:val="00D07F21"/>
    <w:rPr>
      <w:rFonts w:asciiTheme="majorHAnsi" w:eastAsiaTheme="majorEastAsia" w:hAnsiTheme="majorHAnsi" w:cstheme="majorBidi"/>
      <w:color w:val="243F60" w:themeColor="accent1" w:themeShade="7F"/>
      <w:lang w:val="fr-CA" w:eastAsia="fr-CA"/>
    </w:rPr>
  </w:style>
  <w:style w:type="character" w:customStyle="1" w:styleId="Heading6Char">
    <w:name w:val="Heading 6 Char"/>
    <w:basedOn w:val="DefaultParagraphFont"/>
    <w:link w:val="Heading6"/>
    <w:uiPriority w:val="9"/>
    <w:semiHidden/>
    <w:rsid w:val="00D07F21"/>
    <w:rPr>
      <w:rFonts w:asciiTheme="majorHAnsi" w:eastAsiaTheme="majorEastAsia" w:hAnsiTheme="majorHAnsi" w:cstheme="majorBidi"/>
      <w:i/>
      <w:iCs/>
      <w:color w:val="243F60" w:themeColor="accent1" w:themeShade="7F"/>
      <w:lang w:val="fr-CA" w:eastAsia="fr-CA"/>
    </w:rPr>
  </w:style>
  <w:style w:type="character" w:customStyle="1" w:styleId="Heading7Char">
    <w:name w:val="Heading 7 Char"/>
    <w:basedOn w:val="DefaultParagraphFont"/>
    <w:link w:val="Heading7"/>
    <w:uiPriority w:val="9"/>
    <w:semiHidden/>
    <w:rsid w:val="00D07F21"/>
    <w:rPr>
      <w:rFonts w:asciiTheme="majorHAnsi" w:eastAsiaTheme="majorEastAsia" w:hAnsiTheme="majorHAnsi" w:cstheme="majorBidi"/>
      <w:i/>
      <w:iCs/>
      <w:color w:val="404040" w:themeColor="text1" w:themeTint="BF"/>
      <w:lang w:val="fr-CA" w:eastAsia="fr-CA"/>
    </w:rPr>
  </w:style>
  <w:style w:type="character" w:customStyle="1" w:styleId="Heading8Char">
    <w:name w:val="Heading 8 Char"/>
    <w:basedOn w:val="DefaultParagraphFont"/>
    <w:link w:val="Heading8"/>
    <w:uiPriority w:val="9"/>
    <w:semiHidden/>
    <w:rsid w:val="00D07F21"/>
    <w:rPr>
      <w:rFonts w:asciiTheme="majorHAnsi" w:eastAsiaTheme="majorEastAsia" w:hAnsiTheme="majorHAnsi" w:cstheme="majorBidi"/>
      <w:color w:val="404040" w:themeColor="text1" w:themeTint="BF"/>
      <w:lang w:val="fr-CA" w:eastAsia="fr-CA"/>
    </w:rPr>
  </w:style>
  <w:style w:type="character" w:customStyle="1" w:styleId="Heading9Char">
    <w:name w:val="Heading 9 Char"/>
    <w:basedOn w:val="DefaultParagraphFont"/>
    <w:link w:val="Heading9"/>
    <w:uiPriority w:val="9"/>
    <w:semiHidden/>
    <w:rsid w:val="00D07F21"/>
    <w:rPr>
      <w:rFonts w:asciiTheme="majorHAnsi" w:eastAsiaTheme="majorEastAsia" w:hAnsiTheme="majorHAnsi" w:cstheme="majorBidi"/>
      <w:i/>
      <w:iCs/>
      <w:color w:val="404040" w:themeColor="text1" w:themeTint="BF"/>
      <w:lang w:val="fr-CA" w:eastAsia="fr-CA"/>
    </w:rPr>
  </w:style>
  <w:style w:type="paragraph" w:customStyle="1" w:styleId="DefaultText">
    <w:name w:val="Default Text"/>
    <w:basedOn w:val="Normal"/>
    <w:link w:val="DefaultTextChar"/>
    <w:rsid w:val="004F4203"/>
    <w:pPr>
      <w:autoSpaceDE w:val="0"/>
      <w:autoSpaceDN w:val="0"/>
      <w:adjustRightInd w:val="0"/>
    </w:pPr>
    <w:rPr>
      <w:szCs w:val="20"/>
    </w:rPr>
  </w:style>
  <w:style w:type="character" w:customStyle="1" w:styleId="DefaultTextChar">
    <w:name w:val="Default Text Char"/>
    <w:basedOn w:val="DefaultParagraphFont"/>
    <w:link w:val="DefaultText"/>
    <w:uiPriority w:val="1"/>
    <w:rsid w:val="005919A2"/>
    <w:rPr>
      <w:rFonts w:ascii="Arial" w:hAnsi="Arial" w:cs="Arial"/>
      <w:lang w:val="fr-CA" w:eastAsia="fr-CA"/>
    </w:rPr>
  </w:style>
  <w:style w:type="character" w:customStyle="1" w:styleId="AnchorA">
    <w:name w:val="Anchor (A)"/>
    <w:uiPriority w:val="2"/>
    <w:rsid w:val="004F4203"/>
    <w:rPr>
      <w:color w:val="0000FF"/>
      <w:u w:val="single"/>
    </w:rPr>
  </w:style>
  <w:style w:type="character" w:customStyle="1" w:styleId="ViewedAnchorA">
    <w:name w:val="Viewed Anchor (A)"/>
    <w:uiPriority w:val="1"/>
    <w:rsid w:val="004F4203"/>
    <w:rPr>
      <w:color w:val="800000"/>
      <w:u w:val="single"/>
    </w:rPr>
  </w:style>
  <w:style w:type="character" w:styleId="Hyperlink">
    <w:name w:val="Hyperlink"/>
    <w:basedOn w:val="DefaultParagraphFont"/>
    <w:uiPriority w:val="99"/>
    <w:rsid w:val="000D37DF"/>
    <w:rPr>
      <w:rFonts w:ascii="Arial" w:hAnsi="Arial"/>
      <w:color w:val="800000"/>
      <w:sz w:val="20"/>
      <w:u w:val="single"/>
    </w:rPr>
  </w:style>
  <w:style w:type="character" w:styleId="FollowedHyperlink">
    <w:name w:val="FollowedHyperlink"/>
    <w:basedOn w:val="DefaultParagraphFont"/>
    <w:uiPriority w:val="1"/>
    <w:semiHidden/>
    <w:rsid w:val="004F4203"/>
    <w:rPr>
      <w:color w:val="800080"/>
      <w:u w:val="single"/>
    </w:rPr>
  </w:style>
  <w:style w:type="character" w:customStyle="1" w:styleId="InitialStyle">
    <w:name w:val="InitialStyle"/>
    <w:rsid w:val="004F4203"/>
    <w:rPr>
      <w:rFonts w:ascii="Arial" w:hAnsi="Arial" w:cs="Arial"/>
      <w:sz w:val="20"/>
      <w:szCs w:val="20"/>
    </w:rPr>
  </w:style>
  <w:style w:type="paragraph" w:styleId="Header">
    <w:name w:val="header"/>
    <w:basedOn w:val="Normal"/>
    <w:link w:val="HeaderChar"/>
    <w:uiPriority w:val="99"/>
    <w:unhideWhenUsed/>
    <w:rsid w:val="007268F4"/>
    <w:pPr>
      <w:tabs>
        <w:tab w:val="center" w:pos="4680"/>
        <w:tab w:val="right" w:pos="9360"/>
      </w:tabs>
    </w:pPr>
  </w:style>
  <w:style w:type="character" w:customStyle="1" w:styleId="HeaderChar">
    <w:name w:val="Header Char"/>
    <w:basedOn w:val="DefaultParagraphFont"/>
    <w:link w:val="Header"/>
    <w:uiPriority w:val="99"/>
    <w:rsid w:val="007268F4"/>
    <w:rPr>
      <w:rFonts w:ascii="Arial" w:hAnsi="Arial" w:cs="Arial"/>
      <w:szCs w:val="24"/>
      <w:lang w:val="fr-CA" w:eastAsia="fr-CA"/>
    </w:rPr>
  </w:style>
  <w:style w:type="paragraph" w:styleId="Footer">
    <w:name w:val="footer"/>
    <w:basedOn w:val="Normal"/>
    <w:link w:val="FooterChar"/>
    <w:uiPriority w:val="99"/>
    <w:unhideWhenUsed/>
    <w:rsid w:val="007268F4"/>
    <w:pPr>
      <w:tabs>
        <w:tab w:val="center" w:pos="4680"/>
        <w:tab w:val="right" w:pos="9360"/>
      </w:tabs>
    </w:pPr>
  </w:style>
  <w:style w:type="character" w:customStyle="1" w:styleId="FooterChar">
    <w:name w:val="Footer Char"/>
    <w:basedOn w:val="DefaultParagraphFont"/>
    <w:link w:val="Footer"/>
    <w:uiPriority w:val="99"/>
    <w:rsid w:val="007268F4"/>
    <w:rPr>
      <w:rFonts w:ascii="Arial" w:hAnsi="Arial" w:cs="Arial"/>
      <w:szCs w:val="24"/>
      <w:lang w:val="fr-CA" w:eastAsia="fr-CA"/>
    </w:rPr>
  </w:style>
  <w:style w:type="paragraph" w:customStyle="1" w:styleId="ModlesEn-tte1">
    <w:name w:val="Modèles En-tête 1"/>
    <w:basedOn w:val="ModlesEn-tte3"/>
    <w:link w:val="ModlesEn-tte1Char"/>
    <w:qFormat/>
    <w:rsid w:val="00467857"/>
    <w:pPr>
      <w:ind w:left="0" w:firstLine="0"/>
      <w:jc w:val="center"/>
    </w:pPr>
    <w:rPr>
      <w:szCs w:val="20"/>
    </w:rPr>
  </w:style>
  <w:style w:type="character" w:customStyle="1" w:styleId="ModlesEn-tte1Char">
    <w:name w:val="Modèles En-tête 1 Char"/>
    <w:basedOn w:val="Heading1Char"/>
    <w:link w:val="ModlesEn-tte1"/>
    <w:rsid w:val="00467857"/>
    <w:rPr>
      <w:rFonts w:ascii="Arial" w:hAnsi="Arial"/>
      <w:b/>
      <w:bCs/>
      <w:iCs/>
    </w:rPr>
  </w:style>
  <w:style w:type="paragraph" w:customStyle="1" w:styleId="ModlesEn-tte2">
    <w:name w:val="Modèles En-tête 2"/>
    <w:basedOn w:val="ModlesEn-tte3"/>
    <w:link w:val="ModlesEn-tte2Char"/>
    <w:qFormat/>
    <w:rsid w:val="00232778"/>
  </w:style>
  <w:style w:type="paragraph" w:customStyle="1" w:styleId="ModlesEn-tte3">
    <w:name w:val="Modèles En-tête 3"/>
    <w:basedOn w:val="Heading2"/>
    <w:qFormat/>
    <w:rsid w:val="005F083B"/>
    <w:pPr>
      <w:spacing w:before="120" w:after="120"/>
      <w:ind w:left="567" w:hanging="567"/>
    </w:pPr>
    <w:rPr>
      <w:rFonts w:ascii="Arial" w:hAnsi="Arial"/>
      <w:i w:val="0"/>
      <w:sz w:val="20"/>
    </w:rPr>
  </w:style>
  <w:style w:type="character" w:customStyle="1" w:styleId="ModlesEn-tte2Char">
    <w:name w:val="Modèles En-tête 2 Char"/>
    <w:basedOn w:val="Heading2Char"/>
    <w:link w:val="ModlesEn-tte2"/>
    <w:rsid w:val="00232778"/>
    <w:rPr>
      <w:rFonts w:ascii="Arial" w:hAnsi="Arial"/>
      <w:b/>
      <w:bCs/>
      <w:iCs/>
    </w:rPr>
  </w:style>
  <w:style w:type="paragraph" w:styleId="TOC1">
    <w:name w:val="toc 1"/>
    <w:basedOn w:val="Normal"/>
    <w:next w:val="Normal"/>
    <w:autoRedefine/>
    <w:uiPriority w:val="39"/>
    <w:unhideWhenUsed/>
    <w:rsid w:val="00E45B5B"/>
    <w:pPr>
      <w:tabs>
        <w:tab w:val="right" w:leader="dot" w:pos="9372"/>
      </w:tabs>
      <w:spacing w:before="120"/>
      <w:ind w:left="1134" w:hanging="1134"/>
    </w:pPr>
    <w:rPr>
      <w:rFonts w:ascii="Calibri" w:hAnsi="Calibri" w:cs="Calibri"/>
      <w:b/>
      <w:bCs/>
      <w:caps/>
      <w:szCs w:val="20"/>
    </w:rPr>
  </w:style>
  <w:style w:type="paragraph" w:styleId="TOC2">
    <w:name w:val="toc 2"/>
    <w:basedOn w:val="Normal"/>
    <w:next w:val="Normal"/>
    <w:autoRedefine/>
    <w:uiPriority w:val="39"/>
    <w:unhideWhenUsed/>
    <w:rsid w:val="00553D03"/>
    <w:pPr>
      <w:tabs>
        <w:tab w:val="left" w:pos="851"/>
        <w:tab w:val="right" w:leader="dot" w:pos="9372"/>
      </w:tabs>
      <w:spacing w:after="0"/>
      <w:ind w:left="851" w:hanging="567"/>
    </w:pPr>
    <w:rPr>
      <w:rFonts w:ascii="Calibri" w:hAnsi="Calibri" w:cs="Calibri"/>
      <w:smallCaps/>
      <w:szCs w:val="20"/>
    </w:rPr>
  </w:style>
  <w:style w:type="paragraph" w:styleId="TOC3">
    <w:name w:val="toc 3"/>
    <w:basedOn w:val="Normal"/>
    <w:next w:val="Normal"/>
    <w:autoRedefine/>
    <w:uiPriority w:val="39"/>
    <w:unhideWhenUsed/>
    <w:rsid w:val="008F173D"/>
    <w:pPr>
      <w:ind w:left="400"/>
    </w:pPr>
    <w:rPr>
      <w:rFonts w:ascii="Calibri" w:hAnsi="Calibri" w:cs="Calibri"/>
      <w:i/>
      <w:iCs/>
      <w:szCs w:val="20"/>
    </w:rPr>
  </w:style>
  <w:style w:type="paragraph" w:styleId="TOC4">
    <w:name w:val="toc 4"/>
    <w:basedOn w:val="Normal"/>
    <w:next w:val="Normal"/>
    <w:autoRedefine/>
    <w:uiPriority w:val="39"/>
    <w:unhideWhenUsed/>
    <w:rsid w:val="008F173D"/>
    <w:pPr>
      <w:ind w:left="600"/>
    </w:pPr>
    <w:rPr>
      <w:rFonts w:ascii="Calibri" w:hAnsi="Calibri" w:cs="Calibri"/>
      <w:sz w:val="18"/>
      <w:szCs w:val="18"/>
    </w:rPr>
  </w:style>
  <w:style w:type="paragraph" w:styleId="TOC5">
    <w:name w:val="toc 5"/>
    <w:basedOn w:val="Normal"/>
    <w:next w:val="Normal"/>
    <w:autoRedefine/>
    <w:uiPriority w:val="39"/>
    <w:unhideWhenUsed/>
    <w:rsid w:val="008F173D"/>
    <w:pPr>
      <w:ind w:left="800"/>
    </w:pPr>
    <w:rPr>
      <w:rFonts w:ascii="Calibri" w:hAnsi="Calibri" w:cs="Calibri"/>
      <w:sz w:val="18"/>
      <w:szCs w:val="18"/>
    </w:rPr>
  </w:style>
  <w:style w:type="paragraph" w:styleId="TOC6">
    <w:name w:val="toc 6"/>
    <w:basedOn w:val="Normal"/>
    <w:next w:val="Normal"/>
    <w:autoRedefine/>
    <w:uiPriority w:val="39"/>
    <w:unhideWhenUsed/>
    <w:rsid w:val="008F173D"/>
    <w:pPr>
      <w:ind w:left="1000"/>
    </w:pPr>
    <w:rPr>
      <w:rFonts w:ascii="Calibri" w:hAnsi="Calibri" w:cs="Calibri"/>
      <w:sz w:val="18"/>
      <w:szCs w:val="18"/>
    </w:rPr>
  </w:style>
  <w:style w:type="paragraph" w:styleId="TOC7">
    <w:name w:val="toc 7"/>
    <w:basedOn w:val="Normal"/>
    <w:next w:val="Normal"/>
    <w:autoRedefine/>
    <w:uiPriority w:val="39"/>
    <w:unhideWhenUsed/>
    <w:rsid w:val="008F173D"/>
    <w:pPr>
      <w:ind w:left="1200"/>
    </w:pPr>
    <w:rPr>
      <w:rFonts w:ascii="Calibri" w:hAnsi="Calibri" w:cs="Calibri"/>
      <w:sz w:val="18"/>
      <w:szCs w:val="18"/>
    </w:rPr>
  </w:style>
  <w:style w:type="paragraph" w:styleId="TOC8">
    <w:name w:val="toc 8"/>
    <w:basedOn w:val="Normal"/>
    <w:next w:val="Normal"/>
    <w:autoRedefine/>
    <w:uiPriority w:val="39"/>
    <w:unhideWhenUsed/>
    <w:rsid w:val="008F173D"/>
    <w:pPr>
      <w:ind w:left="1400"/>
    </w:pPr>
    <w:rPr>
      <w:rFonts w:ascii="Calibri" w:hAnsi="Calibri" w:cs="Calibri"/>
      <w:sz w:val="18"/>
      <w:szCs w:val="18"/>
    </w:rPr>
  </w:style>
  <w:style w:type="paragraph" w:styleId="TOC9">
    <w:name w:val="toc 9"/>
    <w:basedOn w:val="Normal"/>
    <w:next w:val="Normal"/>
    <w:autoRedefine/>
    <w:uiPriority w:val="39"/>
    <w:unhideWhenUsed/>
    <w:rsid w:val="008F173D"/>
    <w:pPr>
      <w:ind w:left="1600"/>
    </w:pPr>
    <w:rPr>
      <w:rFonts w:ascii="Calibri" w:hAnsi="Calibri" w:cs="Calibri"/>
      <w:sz w:val="18"/>
      <w:szCs w:val="18"/>
    </w:rPr>
  </w:style>
  <w:style w:type="paragraph" w:customStyle="1" w:styleId="Style0">
    <w:name w:val="Style #0"/>
    <w:basedOn w:val="Normal"/>
    <w:uiPriority w:val="1"/>
    <w:rsid w:val="000D37DF"/>
    <w:pPr>
      <w:autoSpaceDE w:val="0"/>
      <w:autoSpaceDN w:val="0"/>
      <w:adjustRightInd w:val="0"/>
    </w:pPr>
    <w:rPr>
      <w:color w:val="0000FF"/>
      <w:szCs w:val="20"/>
    </w:rPr>
  </w:style>
  <w:style w:type="paragraph" w:customStyle="1" w:styleId="ACTITRE2vertgrasarial12troit">
    <w:name w:val="AC TITRE 2 (vert+gras+arial 12 étroit)"/>
    <w:basedOn w:val="Normal"/>
    <w:link w:val="ACTITRE2vertgrasarial12troitChar"/>
    <w:uiPriority w:val="7"/>
    <w:semiHidden/>
    <w:unhideWhenUsed/>
    <w:qFormat/>
    <w:rsid w:val="000D37DF"/>
    <w:rPr>
      <w:rFonts w:ascii="Arial Narrow" w:hAnsi="Arial Narrow"/>
      <w:b/>
      <w:color w:val="00A500"/>
      <w:sz w:val="24"/>
      <w:szCs w:val="20"/>
    </w:rPr>
  </w:style>
  <w:style w:type="character" w:customStyle="1" w:styleId="ACTITRE2vertgrasarial12troitChar">
    <w:name w:val="AC TITRE 2 (vert+gras+arial 12 étroit) Char"/>
    <w:basedOn w:val="DefaultParagraphFont"/>
    <w:link w:val="ACTITRE2vertgrasarial12troit"/>
    <w:uiPriority w:val="7"/>
    <w:semiHidden/>
    <w:rsid w:val="004419D4"/>
    <w:rPr>
      <w:rFonts w:ascii="Arial Narrow" w:hAnsi="Arial Narrow" w:cs="Arial"/>
      <w:b/>
      <w:color w:val="00A500"/>
      <w:sz w:val="24"/>
      <w:lang w:val="fr-CA" w:eastAsia="fr-CA"/>
    </w:rPr>
  </w:style>
  <w:style w:type="paragraph" w:customStyle="1" w:styleId="ACTEXTEvertarial10troit">
    <w:name w:val="AC TEXTE (vert+arial 10 étroit)"/>
    <w:link w:val="ACTEXTEvertarial10troitChar"/>
    <w:uiPriority w:val="99"/>
    <w:qFormat/>
    <w:rsid w:val="000D37DF"/>
    <w:rPr>
      <w:rFonts w:ascii="Arial Narrow" w:hAnsi="Arial Narrow" w:cs="Cambria"/>
      <w:color w:val="00A500"/>
    </w:rPr>
  </w:style>
  <w:style w:type="character" w:customStyle="1" w:styleId="ACTEXTEvertarial10troitChar">
    <w:name w:val="AC TEXTE (vert+arial 10 étroit) Char"/>
    <w:basedOn w:val="DefaultParagraphFont"/>
    <w:link w:val="ACTEXTEvertarial10troit"/>
    <w:uiPriority w:val="99"/>
    <w:rsid w:val="000D37DF"/>
    <w:rPr>
      <w:rFonts w:ascii="Arial Narrow" w:hAnsi="Arial Narrow" w:cs="Cambria"/>
      <w:color w:val="00A500"/>
      <w:lang w:val="fr-CA" w:eastAsia="fr-CA" w:bidi="fr-CA"/>
    </w:rPr>
  </w:style>
  <w:style w:type="paragraph" w:styleId="BodyText">
    <w:name w:val="Body Text"/>
    <w:basedOn w:val="Normal"/>
    <w:link w:val="BodyTextChar"/>
    <w:semiHidden/>
    <w:rsid w:val="00C3574F"/>
    <w:pPr>
      <w:overflowPunct w:val="0"/>
      <w:autoSpaceDE w:val="0"/>
      <w:autoSpaceDN w:val="0"/>
      <w:adjustRightInd w:val="0"/>
      <w:textAlignment w:val="baseline"/>
    </w:pPr>
    <w:rPr>
      <w:rFonts w:ascii="Times New Roman" w:hAnsi="Times New Roman" w:cs="Times New Roman"/>
      <w:color w:val="000000"/>
      <w:sz w:val="24"/>
      <w:szCs w:val="20"/>
    </w:rPr>
  </w:style>
  <w:style w:type="character" w:customStyle="1" w:styleId="BodyTextChar">
    <w:name w:val="Body Text Char"/>
    <w:basedOn w:val="DefaultParagraphFont"/>
    <w:link w:val="BodyText"/>
    <w:semiHidden/>
    <w:rsid w:val="004419D4"/>
    <w:rPr>
      <w:color w:val="000000"/>
      <w:sz w:val="24"/>
      <w:lang w:val="fr-CA"/>
    </w:rPr>
  </w:style>
  <w:style w:type="character" w:customStyle="1" w:styleId="apple-converted-space">
    <w:name w:val="apple-converted-space"/>
    <w:basedOn w:val="DefaultParagraphFont"/>
    <w:uiPriority w:val="2"/>
    <w:rsid w:val="00FF64E6"/>
  </w:style>
  <w:style w:type="paragraph" w:styleId="BalloonText">
    <w:name w:val="Balloon Text"/>
    <w:basedOn w:val="Normal"/>
    <w:link w:val="BalloonTextChar"/>
    <w:uiPriority w:val="99"/>
    <w:semiHidden/>
    <w:unhideWhenUsed/>
    <w:rsid w:val="00B363C7"/>
    <w:rPr>
      <w:rFonts w:ascii="Tahoma" w:hAnsi="Tahoma" w:cs="Tahoma"/>
      <w:sz w:val="16"/>
      <w:szCs w:val="16"/>
    </w:rPr>
  </w:style>
  <w:style w:type="character" w:customStyle="1" w:styleId="BalloonTextChar">
    <w:name w:val="Balloon Text Char"/>
    <w:basedOn w:val="DefaultParagraphFont"/>
    <w:link w:val="BalloonText"/>
    <w:uiPriority w:val="99"/>
    <w:semiHidden/>
    <w:rsid w:val="00B363C7"/>
    <w:rPr>
      <w:rFonts w:ascii="Tahoma" w:hAnsi="Tahoma" w:cs="Tahoma"/>
      <w:sz w:val="16"/>
      <w:szCs w:val="16"/>
      <w:lang w:val="fr-CA" w:eastAsia="fr-CA"/>
    </w:rPr>
  </w:style>
  <w:style w:type="paragraph" w:styleId="NormalWeb">
    <w:name w:val="Normal (Web)"/>
    <w:basedOn w:val="Normal"/>
    <w:uiPriority w:val="99"/>
    <w:unhideWhenUsed/>
    <w:rsid w:val="00B363C7"/>
    <w:pPr>
      <w:tabs>
        <w:tab w:val="left" w:pos="0"/>
      </w:tabs>
      <w:overflowPunct w:val="0"/>
      <w:autoSpaceDE w:val="0"/>
      <w:autoSpaceDN w:val="0"/>
      <w:adjustRightInd w:val="0"/>
      <w:spacing w:before="100" w:beforeAutospacing="1" w:after="100" w:afterAutospacing="1"/>
      <w:textAlignment w:val="baseline"/>
    </w:pPr>
    <w:rPr>
      <w:color w:val="000000"/>
      <w:szCs w:val="20"/>
    </w:rPr>
  </w:style>
  <w:style w:type="paragraph" w:customStyle="1" w:styleId="Style2">
    <w:name w:val="Style2"/>
    <w:basedOn w:val="Normal"/>
    <w:qFormat/>
    <w:rsid w:val="00B363C7"/>
    <w:pPr>
      <w:tabs>
        <w:tab w:val="left" w:pos="1134"/>
      </w:tabs>
      <w:overflowPunct w:val="0"/>
      <w:autoSpaceDE w:val="0"/>
      <w:autoSpaceDN w:val="0"/>
      <w:adjustRightInd w:val="0"/>
      <w:ind w:left="1134" w:hanging="1134"/>
      <w:textAlignment w:val="baseline"/>
    </w:pPr>
    <w:rPr>
      <w:color w:val="000000"/>
      <w:szCs w:val="20"/>
    </w:rPr>
  </w:style>
  <w:style w:type="paragraph" w:customStyle="1" w:styleId="Style1">
    <w:name w:val="Style1"/>
    <w:basedOn w:val="NormalWeb"/>
    <w:link w:val="Style1Char"/>
    <w:qFormat/>
    <w:rsid w:val="00B363C7"/>
    <w:pPr>
      <w:tabs>
        <w:tab w:val="clear" w:pos="0"/>
        <w:tab w:val="left" w:pos="567"/>
      </w:tabs>
      <w:ind w:left="567" w:hanging="567"/>
    </w:pPr>
  </w:style>
  <w:style w:type="character" w:customStyle="1" w:styleId="Style1Char">
    <w:name w:val="Style1 Char"/>
    <w:basedOn w:val="DefaultParagraphFont"/>
    <w:link w:val="Style1"/>
    <w:rsid w:val="004419D4"/>
    <w:rPr>
      <w:rFonts w:ascii="Arial" w:hAnsi="Arial" w:cs="Arial"/>
      <w:color w:val="000000"/>
      <w:lang w:val="fr-CA"/>
    </w:rPr>
  </w:style>
  <w:style w:type="paragraph" w:customStyle="1" w:styleId="Style3">
    <w:name w:val="Style3"/>
    <w:basedOn w:val="NormalWeb"/>
    <w:qFormat/>
    <w:rsid w:val="00B363C7"/>
    <w:pPr>
      <w:numPr>
        <w:numId w:val="1"/>
      </w:numPr>
      <w:tabs>
        <w:tab w:val="clear" w:pos="0"/>
        <w:tab w:val="left" w:pos="1134"/>
      </w:tabs>
      <w:spacing w:before="120" w:beforeAutospacing="0" w:after="240" w:afterAutospacing="0"/>
      <w:ind w:left="1134" w:hanging="567"/>
    </w:pPr>
  </w:style>
  <w:style w:type="character" w:styleId="Emphasis">
    <w:name w:val="Emphasis"/>
    <w:basedOn w:val="DefaultParagraphFont"/>
    <w:uiPriority w:val="20"/>
    <w:rsid w:val="00114A15"/>
    <w:rPr>
      <w:i/>
      <w:iCs/>
    </w:rPr>
  </w:style>
  <w:style w:type="character" w:styleId="HTMLVariable">
    <w:name w:val="HTML Variable"/>
    <w:basedOn w:val="DefaultParagraphFont"/>
    <w:uiPriority w:val="99"/>
    <w:semiHidden/>
    <w:unhideWhenUsed/>
    <w:rsid w:val="000464DD"/>
    <w:rPr>
      <w:i w:val="0"/>
      <w:iCs w:val="0"/>
    </w:rPr>
  </w:style>
  <w:style w:type="character" w:styleId="HTMLKeyboard">
    <w:name w:val="HTML Keyboard"/>
    <w:basedOn w:val="DefaultParagraphFont"/>
    <w:uiPriority w:val="99"/>
    <w:semiHidden/>
    <w:unhideWhenUsed/>
    <w:rsid w:val="000464DD"/>
    <w:rPr>
      <w:rFonts w:ascii="Courier New" w:eastAsia="Times New Roman" w:hAnsi="Courier New" w:cs="Courier New" w:hint="default"/>
      <w:color w:val="0000FF"/>
      <w:sz w:val="24"/>
      <w:szCs w:val="24"/>
    </w:rPr>
  </w:style>
  <w:style w:type="character" w:customStyle="1" w:styleId="input-required">
    <w:name w:val="input-required"/>
    <w:basedOn w:val="DefaultParagraphFont"/>
    <w:uiPriority w:val="1"/>
    <w:rsid w:val="000464DD"/>
  </w:style>
  <w:style w:type="paragraph" w:customStyle="1" w:styleId="defaulttext0">
    <w:name w:val="defaulttext"/>
    <w:basedOn w:val="Normal"/>
    <w:uiPriority w:val="99"/>
    <w:rsid w:val="00C46B82"/>
    <w:pPr>
      <w:tabs>
        <w:tab w:val="left" w:pos="0"/>
      </w:tabs>
      <w:overflowPunct w:val="0"/>
      <w:autoSpaceDE w:val="0"/>
      <w:autoSpaceDN w:val="0"/>
      <w:adjustRightInd w:val="0"/>
      <w:spacing w:before="100" w:beforeAutospacing="1" w:after="100" w:afterAutospacing="1"/>
      <w:textAlignment w:val="baseline"/>
    </w:pPr>
    <w:rPr>
      <w:color w:val="000000"/>
      <w:szCs w:val="20"/>
    </w:rPr>
  </w:style>
  <w:style w:type="paragraph" w:customStyle="1" w:styleId="TableText">
    <w:name w:val="Table Text"/>
    <w:basedOn w:val="Normal"/>
    <w:qFormat/>
    <w:rsid w:val="00640D4B"/>
    <w:pPr>
      <w:tabs>
        <w:tab w:val="left" w:pos="0"/>
      </w:tabs>
      <w:overflowPunct w:val="0"/>
      <w:autoSpaceDE w:val="0"/>
      <w:autoSpaceDN w:val="0"/>
      <w:adjustRightInd w:val="0"/>
      <w:spacing w:after="0"/>
      <w:textAlignment w:val="baseline"/>
    </w:pPr>
    <w:rPr>
      <w:color w:val="000000"/>
      <w:szCs w:val="20"/>
    </w:rPr>
  </w:style>
  <w:style w:type="character" w:styleId="HTMLCite">
    <w:name w:val="HTML Cite"/>
    <w:basedOn w:val="DefaultParagraphFont"/>
    <w:uiPriority w:val="99"/>
    <w:semiHidden/>
    <w:unhideWhenUsed/>
    <w:rsid w:val="009A576A"/>
    <w:rPr>
      <w:i/>
      <w:iCs/>
    </w:rPr>
  </w:style>
  <w:style w:type="paragraph" w:styleId="ListParagraph">
    <w:name w:val="List Paragraph"/>
    <w:basedOn w:val="Normal"/>
    <w:uiPriority w:val="34"/>
    <w:qFormat/>
    <w:rsid w:val="00CD02A5"/>
    <w:pPr>
      <w:ind w:left="720"/>
      <w:contextualSpacing/>
    </w:pPr>
  </w:style>
  <w:style w:type="paragraph" w:customStyle="1" w:styleId="DefaultText1">
    <w:name w:val="Default Text:1"/>
    <w:basedOn w:val="Normal"/>
    <w:link w:val="DefaultText1Char"/>
    <w:uiPriority w:val="99"/>
    <w:rsid w:val="005919A2"/>
    <w:pPr>
      <w:tabs>
        <w:tab w:val="left" w:pos="0"/>
      </w:tabs>
      <w:overflowPunct w:val="0"/>
      <w:autoSpaceDE w:val="0"/>
      <w:autoSpaceDN w:val="0"/>
      <w:adjustRightInd w:val="0"/>
      <w:textAlignment w:val="baseline"/>
    </w:pPr>
    <w:rPr>
      <w:color w:val="000000"/>
      <w:szCs w:val="20"/>
    </w:rPr>
  </w:style>
  <w:style w:type="character" w:customStyle="1" w:styleId="DefaultText1Char">
    <w:name w:val="Default Text:1 Char"/>
    <w:basedOn w:val="DefaultParagraphFont"/>
    <w:link w:val="DefaultText1"/>
    <w:rsid w:val="005919A2"/>
    <w:rPr>
      <w:rFonts w:ascii="Arial" w:hAnsi="Arial" w:cs="Arial"/>
      <w:color w:val="000000"/>
      <w:lang w:val="fr-CA" w:eastAsia="fr-CA"/>
    </w:rPr>
  </w:style>
  <w:style w:type="paragraph" w:customStyle="1" w:styleId="DefaultText21">
    <w:name w:val="Default Text:2:1"/>
    <w:basedOn w:val="Normal"/>
    <w:rsid w:val="005919A2"/>
    <w:pPr>
      <w:tabs>
        <w:tab w:val="left" w:pos="0"/>
      </w:tabs>
      <w:overflowPunct w:val="0"/>
      <w:autoSpaceDE w:val="0"/>
      <w:autoSpaceDN w:val="0"/>
      <w:adjustRightInd w:val="0"/>
      <w:textAlignment w:val="baseline"/>
    </w:pPr>
    <w:rPr>
      <w:color w:val="000000"/>
      <w:szCs w:val="20"/>
    </w:rPr>
  </w:style>
  <w:style w:type="paragraph" w:customStyle="1" w:styleId="DefaultText11">
    <w:name w:val="Default Text:1:1"/>
    <w:basedOn w:val="Normal"/>
    <w:rsid w:val="00424033"/>
    <w:pPr>
      <w:tabs>
        <w:tab w:val="left" w:pos="0"/>
      </w:tabs>
      <w:overflowPunct w:val="0"/>
      <w:autoSpaceDE w:val="0"/>
      <w:autoSpaceDN w:val="0"/>
      <w:adjustRightInd w:val="0"/>
      <w:textAlignment w:val="baseline"/>
    </w:pPr>
    <w:rPr>
      <w:color w:val="000000"/>
      <w:szCs w:val="20"/>
    </w:rPr>
  </w:style>
  <w:style w:type="table" w:styleId="TableGrid">
    <w:name w:val="Table Grid"/>
    <w:basedOn w:val="TableNormal"/>
    <w:uiPriority w:val="59"/>
    <w:rsid w:val="00637FDC"/>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40D4B"/>
    <w:pPr>
      <w:tabs>
        <w:tab w:val="left" w:pos="0"/>
      </w:tabs>
      <w:overflowPunct w:val="0"/>
      <w:autoSpaceDE w:val="0"/>
      <w:autoSpaceDN w:val="0"/>
      <w:adjustRightInd w:val="0"/>
      <w:textAlignment w:val="baseline"/>
    </w:pPr>
    <w:rPr>
      <w:rFonts w:ascii="Consolas" w:eastAsia="Calibri" w:hAnsi="Consolas"/>
      <w:color w:val="000000"/>
      <w:sz w:val="21"/>
      <w:szCs w:val="21"/>
    </w:rPr>
  </w:style>
  <w:style w:type="character" w:customStyle="1" w:styleId="PlainTextChar">
    <w:name w:val="Plain Text Char"/>
    <w:basedOn w:val="DefaultParagraphFont"/>
    <w:link w:val="PlainText"/>
    <w:uiPriority w:val="99"/>
    <w:rsid w:val="00640D4B"/>
    <w:rPr>
      <w:rFonts w:ascii="Consolas" w:eastAsia="Calibri" w:hAnsi="Consolas" w:cs="Arial"/>
      <w:color w:val="000000"/>
      <w:sz w:val="21"/>
      <w:szCs w:val="21"/>
      <w:lang w:val="fr-CA" w:eastAsia="fr-CA"/>
    </w:rPr>
  </w:style>
  <w:style w:type="character" w:styleId="Strong">
    <w:name w:val="Strong"/>
    <w:basedOn w:val="DefaultParagraphFont"/>
    <w:qFormat/>
    <w:rsid w:val="00D07F21"/>
    <w:rPr>
      <w:b/>
      <w:bCs/>
    </w:rPr>
  </w:style>
  <w:style w:type="paragraph" w:styleId="BodyTextIndent2">
    <w:name w:val="Body Text Indent 2"/>
    <w:basedOn w:val="Normal"/>
    <w:link w:val="BodyTextIndent2Char"/>
    <w:uiPriority w:val="99"/>
    <w:unhideWhenUsed/>
    <w:rsid w:val="00D07F21"/>
    <w:pPr>
      <w:overflowPunct w:val="0"/>
      <w:autoSpaceDE w:val="0"/>
      <w:autoSpaceDN w:val="0"/>
      <w:adjustRightInd w:val="0"/>
      <w:spacing w:line="480" w:lineRule="auto"/>
      <w:ind w:left="283"/>
      <w:textAlignment w:val="baseline"/>
    </w:pPr>
    <w:rPr>
      <w:rFonts w:ascii="Times New Roman" w:hAnsi="Times New Roman" w:cs="Times New Roman"/>
      <w:color w:val="000000"/>
      <w:szCs w:val="20"/>
    </w:rPr>
  </w:style>
  <w:style w:type="character" w:customStyle="1" w:styleId="BodyTextIndent2Char">
    <w:name w:val="Body Text Indent 2 Char"/>
    <w:basedOn w:val="DefaultParagraphFont"/>
    <w:link w:val="BodyTextIndent2"/>
    <w:uiPriority w:val="99"/>
    <w:rsid w:val="00D07F21"/>
    <w:rPr>
      <w:color w:val="000000"/>
      <w:lang w:val="fr-CA" w:eastAsia="fr-CA"/>
    </w:rPr>
  </w:style>
  <w:style w:type="paragraph" w:styleId="CommentText">
    <w:name w:val="annotation text"/>
    <w:basedOn w:val="Normal"/>
    <w:link w:val="CommentTextChar"/>
    <w:uiPriority w:val="99"/>
    <w:semiHidden/>
    <w:unhideWhenUsed/>
    <w:rsid w:val="00D07F21"/>
    <w:pPr>
      <w:overflowPunct w:val="0"/>
      <w:autoSpaceDE w:val="0"/>
      <w:autoSpaceDN w:val="0"/>
      <w:adjustRightInd w:val="0"/>
      <w:spacing w:after="0"/>
      <w:textAlignment w:val="baseline"/>
    </w:pPr>
    <w:rPr>
      <w:rFonts w:ascii="Times New Roman" w:hAnsi="Times New Roman" w:cs="Times New Roman"/>
      <w:color w:val="000000"/>
      <w:szCs w:val="20"/>
    </w:rPr>
  </w:style>
  <w:style w:type="character" w:customStyle="1" w:styleId="CommentTextChar">
    <w:name w:val="Comment Text Char"/>
    <w:basedOn w:val="DefaultParagraphFont"/>
    <w:link w:val="CommentText"/>
    <w:uiPriority w:val="99"/>
    <w:semiHidden/>
    <w:rsid w:val="00D07F21"/>
    <w:rPr>
      <w:color w:val="000000"/>
      <w:lang w:val="fr-CA" w:eastAsia="fr-CA"/>
    </w:rPr>
  </w:style>
  <w:style w:type="paragraph" w:styleId="CommentSubject">
    <w:name w:val="annotation subject"/>
    <w:basedOn w:val="CommentText"/>
    <w:next w:val="CommentText"/>
    <w:link w:val="CommentSubjectChar"/>
    <w:uiPriority w:val="99"/>
    <w:semiHidden/>
    <w:unhideWhenUsed/>
    <w:rsid w:val="00D07F21"/>
    <w:rPr>
      <w:b/>
      <w:bCs/>
    </w:rPr>
  </w:style>
  <w:style w:type="character" w:customStyle="1" w:styleId="CommentSubjectChar">
    <w:name w:val="Comment Subject Char"/>
    <w:basedOn w:val="CommentTextChar"/>
    <w:link w:val="CommentSubject"/>
    <w:uiPriority w:val="99"/>
    <w:semiHidden/>
    <w:rsid w:val="00D07F21"/>
    <w:rPr>
      <w:b/>
      <w:bCs/>
    </w:rPr>
  </w:style>
  <w:style w:type="paragraph" w:styleId="Revision">
    <w:name w:val="Revision"/>
    <w:hidden/>
    <w:uiPriority w:val="99"/>
    <w:semiHidden/>
    <w:rsid w:val="00D07F21"/>
    <w:rPr>
      <w:color w:val="000000"/>
    </w:rPr>
  </w:style>
  <w:style w:type="paragraph" w:styleId="BodyTextIndent3">
    <w:name w:val="Body Text Indent 3"/>
    <w:basedOn w:val="Normal"/>
    <w:link w:val="BodyTextIndent3Char"/>
    <w:uiPriority w:val="99"/>
    <w:unhideWhenUsed/>
    <w:rsid w:val="00D07F21"/>
    <w:pPr>
      <w:overflowPunct w:val="0"/>
      <w:autoSpaceDE w:val="0"/>
      <w:autoSpaceDN w:val="0"/>
      <w:adjustRightInd w:val="0"/>
      <w:ind w:left="283"/>
      <w:textAlignment w:val="baseline"/>
    </w:pPr>
    <w:rPr>
      <w:rFonts w:ascii="Times New Roman" w:hAnsi="Times New Roman" w:cs="Times New Roman"/>
      <w:color w:val="000000"/>
      <w:sz w:val="16"/>
      <w:szCs w:val="16"/>
    </w:rPr>
  </w:style>
  <w:style w:type="character" w:customStyle="1" w:styleId="BodyTextIndent3Char">
    <w:name w:val="Body Text Indent 3 Char"/>
    <w:basedOn w:val="DefaultParagraphFont"/>
    <w:link w:val="BodyTextIndent3"/>
    <w:uiPriority w:val="99"/>
    <w:rsid w:val="00D07F21"/>
    <w:rPr>
      <w:color w:val="000000"/>
      <w:sz w:val="16"/>
      <w:szCs w:val="16"/>
      <w:lang w:val="fr-CA" w:eastAsia="fr-CA"/>
    </w:rPr>
  </w:style>
</w:styles>
</file>

<file path=word/webSettings.xml><?xml version="1.0" encoding="utf-8"?>
<w:webSettings xmlns:r="http://schemas.openxmlformats.org/officeDocument/2006/relationships" xmlns:w="http://schemas.openxmlformats.org/wordprocessingml/2006/main">
  <w:divs>
    <w:div w:id="97796421">
      <w:bodyDiv w:val="1"/>
      <w:marLeft w:val="0"/>
      <w:marRight w:val="0"/>
      <w:marTop w:val="0"/>
      <w:marBottom w:val="0"/>
      <w:divBdr>
        <w:top w:val="none" w:sz="0" w:space="0" w:color="auto"/>
        <w:left w:val="none" w:sz="0" w:space="0" w:color="auto"/>
        <w:bottom w:val="none" w:sz="0" w:space="0" w:color="auto"/>
        <w:right w:val="none" w:sz="0" w:space="0" w:color="auto"/>
      </w:divBdr>
      <w:divsChild>
        <w:div w:id="991643153">
          <w:marLeft w:val="0"/>
          <w:marRight w:val="0"/>
          <w:marTop w:val="0"/>
          <w:marBottom w:val="0"/>
          <w:divBdr>
            <w:top w:val="none" w:sz="0" w:space="0" w:color="auto"/>
            <w:left w:val="none" w:sz="0" w:space="0" w:color="auto"/>
            <w:bottom w:val="none" w:sz="0" w:space="0" w:color="auto"/>
            <w:right w:val="none" w:sz="0" w:space="0" w:color="auto"/>
          </w:divBdr>
        </w:div>
      </w:divsChild>
    </w:div>
    <w:div w:id="161631982">
      <w:bodyDiv w:val="1"/>
      <w:marLeft w:val="0"/>
      <w:marRight w:val="0"/>
      <w:marTop w:val="0"/>
      <w:marBottom w:val="0"/>
      <w:divBdr>
        <w:top w:val="none" w:sz="0" w:space="0" w:color="auto"/>
        <w:left w:val="none" w:sz="0" w:space="0" w:color="auto"/>
        <w:bottom w:val="none" w:sz="0" w:space="0" w:color="auto"/>
        <w:right w:val="none" w:sz="0" w:space="0" w:color="auto"/>
      </w:divBdr>
      <w:divsChild>
        <w:div w:id="15623815">
          <w:marLeft w:val="0"/>
          <w:marRight w:val="0"/>
          <w:marTop w:val="0"/>
          <w:marBottom w:val="0"/>
          <w:divBdr>
            <w:top w:val="none" w:sz="0" w:space="0" w:color="auto"/>
            <w:left w:val="none" w:sz="0" w:space="0" w:color="auto"/>
            <w:bottom w:val="none" w:sz="0" w:space="0" w:color="auto"/>
            <w:right w:val="none" w:sz="0" w:space="0" w:color="auto"/>
          </w:divBdr>
        </w:div>
        <w:div w:id="1605653447">
          <w:marLeft w:val="0"/>
          <w:marRight w:val="0"/>
          <w:marTop w:val="0"/>
          <w:marBottom w:val="0"/>
          <w:divBdr>
            <w:top w:val="none" w:sz="0" w:space="0" w:color="auto"/>
            <w:left w:val="none" w:sz="0" w:space="0" w:color="auto"/>
            <w:bottom w:val="none" w:sz="0" w:space="0" w:color="auto"/>
            <w:right w:val="none" w:sz="0" w:space="0" w:color="auto"/>
          </w:divBdr>
        </w:div>
        <w:div w:id="316763711">
          <w:marLeft w:val="0"/>
          <w:marRight w:val="0"/>
          <w:marTop w:val="0"/>
          <w:marBottom w:val="0"/>
          <w:divBdr>
            <w:top w:val="none" w:sz="0" w:space="0" w:color="auto"/>
            <w:left w:val="none" w:sz="0" w:space="0" w:color="auto"/>
            <w:bottom w:val="none" w:sz="0" w:space="0" w:color="auto"/>
            <w:right w:val="none" w:sz="0" w:space="0" w:color="auto"/>
          </w:divBdr>
        </w:div>
      </w:divsChild>
    </w:div>
    <w:div w:id="295768560">
      <w:bodyDiv w:val="1"/>
      <w:marLeft w:val="0"/>
      <w:marRight w:val="0"/>
      <w:marTop w:val="0"/>
      <w:marBottom w:val="0"/>
      <w:divBdr>
        <w:top w:val="none" w:sz="0" w:space="0" w:color="auto"/>
        <w:left w:val="none" w:sz="0" w:space="0" w:color="auto"/>
        <w:bottom w:val="none" w:sz="0" w:space="0" w:color="auto"/>
        <w:right w:val="none" w:sz="0" w:space="0" w:color="auto"/>
      </w:divBdr>
    </w:div>
    <w:div w:id="650601217">
      <w:bodyDiv w:val="1"/>
      <w:marLeft w:val="0"/>
      <w:marRight w:val="0"/>
      <w:marTop w:val="0"/>
      <w:marBottom w:val="0"/>
      <w:divBdr>
        <w:top w:val="none" w:sz="0" w:space="0" w:color="auto"/>
        <w:left w:val="none" w:sz="0" w:space="0" w:color="auto"/>
        <w:bottom w:val="none" w:sz="0" w:space="0" w:color="auto"/>
        <w:right w:val="none" w:sz="0" w:space="0" w:color="auto"/>
      </w:divBdr>
      <w:divsChild>
        <w:div w:id="884678989">
          <w:marLeft w:val="0"/>
          <w:marRight w:val="0"/>
          <w:marTop w:val="0"/>
          <w:marBottom w:val="0"/>
          <w:divBdr>
            <w:top w:val="none" w:sz="0" w:space="0" w:color="auto"/>
            <w:left w:val="none" w:sz="0" w:space="0" w:color="auto"/>
            <w:bottom w:val="none" w:sz="0" w:space="0" w:color="auto"/>
            <w:right w:val="none" w:sz="0" w:space="0" w:color="auto"/>
          </w:divBdr>
        </w:div>
      </w:divsChild>
    </w:div>
    <w:div w:id="692876848">
      <w:bodyDiv w:val="1"/>
      <w:marLeft w:val="0"/>
      <w:marRight w:val="0"/>
      <w:marTop w:val="0"/>
      <w:marBottom w:val="0"/>
      <w:divBdr>
        <w:top w:val="none" w:sz="0" w:space="0" w:color="auto"/>
        <w:left w:val="none" w:sz="0" w:space="0" w:color="auto"/>
        <w:bottom w:val="none" w:sz="0" w:space="0" w:color="auto"/>
        <w:right w:val="none" w:sz="0" w:space="0" w:color="auto"/>
      </w:divBdr>
      <w:divsChild>
        <w:div w:id="1607539098">
          <w:marLeft w:val="0"/>
          <w:marRight w:val="0"/>
          <w:marTop w:val="0"/>
          <w:marBottom w:val="0"/>
          <w:divBdr>
            <w:top w:val="none" w:sz="0" w:space="0" w:color="auto"/>
            <w:left w:val="none" w:sz="0" w:space="0" w:color="auto"/>
            <w:bottom w:val="none" w:sz="0" w:space="0" w:color="auto"/>
            <w:right w:val="none" w:sz="0" w:space="0" w:color="auto"/>
          </w:divBdr>
        </w:div>
      </w:divsChild>
    </w:div>
    <w:div w:id="774788866">
      <w:bodyDiv w:val="1"/>
      <w:marLeft w:val="0"/>
      <w:marRight w:val="0"/>
      <w:marTop w:val="0"/>
      <w:marBottom w:val="0"/>
      <w:divBdr>
        <w:top w:val="none" w:sz="0" w:space="0" w:color="auto"/>
        <w:left w:val="none" w:sz="0" w:space="0" w:color="auto"/>
        <w:bottom w:val="none" w:sz="0" w:space="0" w:color="auto"/>
        <w:right w:val="none" w:sz="0" w:space="0" w:color="auto"/>
      </w:divBdr>
      <w:divsChild>
        <w:div w:id="1483736542">
          <w:marLeft w:val="0"/>
          <w:marRight w:val="0"/>
          <w:marTop w:val="0"/>
          <w:marBottom w:val="0"/>
          <w:divBdr>
            <w:top w:val="none" w:sz="0" w:space="0" w:color="auto"/>
            <w:left w:val="none" w:sz="0" w:space="0" w:color="auto"/>
            <w:bottom w:val="none" w:sz="0" w:space="0" w:color="auto"/>
            <w:right w:val="none" w:sz="0" w:space="0" w:color="auto"/>
          </w:divBdr>
        </w:div>
      </w:divsChild>
    </w:div>
    <w:div w:id="1365863584">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 w:id="1862351806">
      <w:bodyDiv w:val="1"/>
      <w:marLeft w:val="0"/>
      <w:marRight w:val="0"/>
      <w:marTop w:val="0"/>
      <w:marBottom w:val="0"/>
      <w:divBdr>
        <w:top w:val="none" w:sz="0" w:space="0" w:color="auto"/>
        <w:left w:val="none" w:sz="0" w:space="0" w:color="auto"/>
        <w:bottom w:val="none" w:sz="0" w:space="0" w:color="auto"/>
        <w:right w:val="none" w:sz="0" w:space="0" w:color="auto"/>
      </w:divBdr>
    </w:div>
    <w:div w:id="2069719678">
      <w:bodyDiv w:val="1"/>
      <w:marLeft w:val="0"/>
      <w:marRight w:val="0"/>
      <w:marTop w:val="0"/>
      <w:marBottom w:val="0"/>
      <w:divBdr>
        <w:top w:val="none" w:sz="0" w:space="0" w:color="auto"/>
        <w:left w:val="none" w:sz="0" w:space="0" w:color="auto"/>
        <w:bottom w:val="none" w:sz="0" w:space="0" w:color="auto"/>
        <w:right w:val="none" w:sz="0" w:space="0" w:color="auto"/>
      </w:divBdr>
      <w:divsChild>
        <w:div w:id="2045404504">
          <w:marLeft w:val="0"/>
          <w:marRight w:val="0"/>
          <w:marTop w:val="0"/>
          <w:marBottom w:val="0"/>
          <w:divBdr>
            <w:top w:val="none" w:sz="0" w:space="0" w:color="auto"/>
            <w:left w:val="none" w:sz="0" w:space="0" w:color="auto"/>
            <w:bottom w:val="none" w:sz="0" w:space="0" w:color="auto"/>
            <w:right w:val="none" w:sz="0" w:space="0" w:color="auto"/>
          </w:divBdr>
        </w:div>
      </w:divsChild>
    </w:div>
    <w:div w:id="21255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atsetventes.gc.ca/politiques-et-lignes-directrices/guide-des-clauses-et-conditions-uniformisees-d-achat" TargetMode="External"/><Relationship Id="rId13" Type="http://schemas.openxmlformats.org/officeDocument/2006/relationships/hyperlink" Target="https://achatsetventes.gc.ca/politiques-et-lignes-directrices/guide-des-approvisionnements/annexe/9/4" TargetMode="External"/><Relationship Id="rId18" Type="http://schemas.openxmlformats.org/officeDocument/2006/relationships/hyperlink" Target="http://www.travail.gc.ca/fra/normes_equite/eq/emp/pcf/index.s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chatsetventes.gc.ca/politiques-et-lignes-directrices/guide-des-clauses-et-conditions-uniformisees-d-achat/1/2008/actif" TargetMode="External"/><Relationship Id="rId17" Type="http://schemas.openxmlformats.org/officeDocument/2006/relationships/hyperlink" Target="https://achatsetventes.gc.ca/politiques-et-lignes-directrices/guide-des-clauses-et-conditions-uniformisees-d-achat/3/2020/acti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aws-lois.justice.gc.ca/fra/lois/f-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ail.gc.ca/fra/normes_equite/eq/emp/pcf/index.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chatsetventes.gc.ca/politiques-et-lignes-directrices/guide-des-clauses-et-conditions-uniformisees-d-achat/3/2020/actif" TargetMode="External"/><Relationship Id="rId23" Type="http://schemas.openxmlformats.org/officeDocument/2006/relationships/hyperlink" Target="mailto:ncrfurniture.rcnameublement@tpsgc-pwgsc.gc.ca" TargetMode="External"/><Relationship Id="rId28" Type="http://schemas.openxmlformats.org/officeDocument/2006/relationships/theme" Target="theme/theme1.xml"/><Relationship Id="rId10" Type="http://schemas.openxmlformats.org/officeDocument/2006/relationships/hyperlink" Target="https://achatsetventes.gc.ca/politiques-et-lignes-directrices/guide-des-clauses-et-conditions-uniformisees-d-achat/1/2008/actif" TargetMode="External"/><Relationship Id="rId19" Type="http://schemas.openxmlformats.org/officeDocument/2006/relationships/hyperlink" Target="https://achatsetventes.gc.ca/politiques-et-lignes-directrices/guide-des-clauses-et-conditions-uniformisees-d-achat/5/A/A3050T/actif" TargetMode="External"/><Relationship Id="rId4" Type="http://schemas.openxmlformats.org/officeDocument/2006/relationships/settings" Target="settings.xml"/><Relationship Id="rId9" Type="http://schemas.openxmlformats.org/officeDocument/2006/relationships/hyperlink" Target="https://achatsetventes.gc.ca/politiques-et-lignes-directrices/guide-des-clauses-et-conditions-uniformisees-d-achat/1/2008/actif" TargetMode="External"/><Relationship Id="rId14" Type="http://schemas.openxmlformats.org/officeDocument/2006/relationships/hyperlink" Target="https://achatsetventes.gc.ca/politiques-et-lignes-directrices/guide-des-clauses-et-conditions-uniformisees-d-achat" TargetMode="External"/><Relationship Id="rId22" Type="http://schemas.openxmlformats.org/officeDocument/2006/relationships/hyperlink" Target="mailto:ncrfurniture.rcnameublement@tpsgc-pwgsc.gc.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5BF67-7067-4242-B010-C158D401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62</Pages>
  <Words>21998</Words>
  <Characters>126627</Characters>
  <Application>Microsoft Office Word</Application>
  <DocSecurity>0</DocSecurity>
  <Lines>1055</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Mars 2014</vt:lpstr>
      <vt:lpstr>Mars 2014</vt:lpstr>
    </vt:vector>
  </TitlesOfParts>
  <Company>PWGSC/TPSGC</Company>
  <LinksUpToDate>false</LinksUpToDate>
  <CharactersWithSpaces>148329</CharactersWithSpaces>
  <SharedDoc>false</SharedDoc>
  <HLinks>
    <vt:vector size="840" baseType="variant">
      <vt:variant>
        <vt:i4>458879</vt:i4>
      </vt:variant>
      <vt:variant>
        <vt:i4>561</vt:i4>
      </vt:variant>
      <vt:variant>
        <vt:i4>0</vt:i4>
      </vt:variant>
      <vt:variant>
        <vt:i4>5</vt:i4>
      </vt:variant>
      <vt:variant>
        <vt:lpwstr>mailto:outilsapprov.proctools@tpsgc-pwgsc.gc.ca</vt:lpwstr>
      </vt:variant>
      <vt:variant>
        <vt:lpwstr/>
      </vt:variant>
      <vt:variant>
        <vt:i4>7733285</vt:i4>
      </vt:variant>
      <vt:variant>
        <vt:i4>558</vt:i4>
      </vt:variant>
      <vt:variant>
        <vt:i4>0</vt:i4>
      </vt:variant>
      <vt:variant>
        <vt:i4>5</vt:i4>
      </vt:variant>
      <vt:variant>
        <vt:lpwstr>https://achatsetventes.gc.ca/politiques-et-lignes-directrices/guide-des-clauses-et-conditions-uniformisees-d-achat/3/2029/actif</vt:lpwstr>
      </vt:variant>
      <vt:variant>
        <vt:lpwstr/>
      </vt:variant>
      <vt:variant>
        <vt:i4>7733375</vt:i4>
      </vt:variant>
      <vt:variant>
        <vt:i4>555</vt:i4>
      </vt:variant>
      <vt:variant>
        <vt:i4>0</vt:i4>
      </vt:variant>
      <vt:variant>
        <vt:i4>5</vt:i4>
      </vt:variant>
      <vt:variant>
        <vt:lpwstr>Catalogue de formulaires (</vt:lpwstr>
      </vt:variant>
      <vt:variant>
        <vt:lpwstr/>
      </vt:variant>
      <vt:variant>
        <vt:i4>7733288</vt:i4>
      </vt:variant>
      <vt:variant>
        <vt:i4>552</vt:i4>
      </vt:variant>
      <vt:variant>
        <vt:i4>0</vt:i4>
      </vt:variant>
      <vt:variant>
        <vt:i4>5</vt:i4>
      </vt:variant>
      <vt:variant>
        <vt:lpwstr>https://achatsetventes.gc.ca/politiques-et-lignes-directrices/guide-des-clauses-et-conditions-uniformisees-d-achat/1/2004/actif</vt:lpwstr>
      </vt:variant>
      <vt:variant>
        <vt:lpwstr/>
      </vt:variant>
      <vt:variant>
        <vt:i4>7733295</vt:i4>
      </vt:variant>
      <vt:variant>
        <vt:i4>549</vt:i4>
      </vt:variant>
      <vt:variant>
        <vt:i4>0</vt:i4>
      </vt:variant>
      <vt:variant>
        <vt:i4>5</vt:i4>
      </vt:variant>
      <vt:variant>
        <vt:lpwstr>https://achatsetventes.gc.ca/politiques-et-lignes-directrices/guide-des-clauses-et-conditions-uniformisees-d-achat/1/2003/actif</vt:lpwstr>
      </vt:variant>
      <vt:variant>
        <vt:lpwstr/>
      </vt:variant>
      <vt:variant>
        <vt:i4>7340149</vt:i4>
      </vt:variant>
      <vt:variant>
        <vt:i4>546</vt:i4>
      </vt:variant>
      <vt:variant>
        <vt:i4>0</vt:i4>
      </vt:variant>
      <vt:variant>
        <vt:i4>5</vt:i4>
      </vt:variant>
      <vt:variant>
        <vt:lpwstr>https://achatsetventes.gc.ca/politiques-et-lignes-directrices/guide-des-clauses-et-conditions-uniformisees-d-achat/5/A/A3010T/actif</vt:lpwstr>
      </vt:variant>
      <vt:variant>
        <vt:lpwstr/>
      </vt:variant>
      <vt:variant>
        <vt:i4>7667828</vt:i4>
      </vt:variant>
      <vt:variant>
        <vt:i4>543</vt:i4>
      </vt:variant>
      <vt:variant>
        <vt:i4>0</vt:i4>
      </vt:variant>
      <vt:variant>
        <vt:i4>5</vt:i4>
      </vt:variant>
      <vt:variant>
        <vt:lpwstr>https://achatsetventes.gc.ca/politiques-et-lignes-directrices/guide-des-clauses-et-conditions-uniformisees-d-achat/5/A/A3005T/actif</vt:lpwstr>
      </vt:variant>
      <vt:variant>
        <vt:lpwstr/>
      </vt:variant>
      <vt:variant>
        <vt:i4>7340139</vt:i4>
      </vt:variant>
      <vt:variant>
        <vt:i4>540</vt:i4>
      </vt:variant>
      <vt:variant>
        <vt:i4>0</vt:i4>
      </vt:variant>
      <vt:variant>
        <vt:i4>5</vt:i4>
      </vt:variant>
      <vt:variant>
        <vt:lpwstr>http://achatsetventes.gc.ca/politiques-et-lignes-directrices/guide-des-clauses-et-conditions-uniformisees-d-achat/5/A/A9033T/actif</vt:lpwstr>
      </vt:variant>
      <vt:variant>
        <vt:lpwstr/>
      </vt:variant>
      <vt:variant>
        <vt:i4>7602285</vt:i4>
      </vt:variant>
      <vt:variant>
        <vt:i4>537</vt:i4>
      </vt:variant>
      <vt:variant>
        <vt:i4>0</vt:i4>
      </vt:variant>
      <vt:variant>
        <vt:i4>5</vt:i4>
      </vt:variant>
      <vt:variant>
        <vt:lpwstr>http://achatsetventes.gc.ca/politiques-et-lignes-directrices/guide-des-approvisionnements/section/5/60</vt:lpwstr>
      </vt:variant>
      <vt:variant>
        <vt:lpwstr/>
      </vt:variant>
      <vt:variant>
        <vt:i4>1114139</vt:i4>
      </vt:variant>
      <vt:variant>
        <vt:i4>534</vt:i4>
      </vt:variant>
      <vt:variant>
        <vt:i4>0</vt:i4>
      </vt:variant>
      <vt:variant>
        <vt:i4>5</vt:i4>
      </vt:variant>
      <vt:variant>
        <vt:lpwstr>http://www.tpsgc-pwgsc.gc.ca/app-acq/forms/formulaires-forms-fra.html</vt:lpwstr>
      </vt:variant>
      <vt:variant>
        <vt:lpwstr/>
      </vt:variant>
      <vt:variant>
        <vt:i4>7733288</vt:i4>
      </vt:variant>
      <vt:variant>
        <vt:i4>531</vt:i4>
      </vt:variant>
      <vt:variant>
        <vt:i4>0</vt:i4>
      </vt:variant>
      <vt:variant>
        <vt:i4>5</vt:i4>
      </vt:variant>
      <vt:variant>
        <vt:lpwstr>https://achatsetventes.gc.ca/politiques-et-lignes-directrices/guide-des-clauses-et-conditions-uniformisees-d-achat/1/2004/actif</vt:lpwstr>
      </vt:variant>
      <vt:variant>
        <vt:lpwstr/>
      </vt:variant>
      <vt:variant>
        <vt:i4>7733295</vt:i4>
      </vt:variant>
      <vt:variant>
        <vt:i4>528</vt:i4>
      </vt:variant>
      <vt:variant>
        <vt:i4>0</vt:i4>
      </vt:variant>
      <vt:variant>
        <vt:i4>5</vt:i4>
      </vt:variant>
      <vt:variant>
        <vt:lpwstr>https://achatsetventes.gc.ca/politiques-et-lignes-directrices/guide-des-clauses-et-conditions-uniformisees-d-achat/1/2003/actif</vt:lpwstr>
      </vt:variant>
      <vt:variant>
        <vt:lpwstr/>
      </vt:variant>
      <vt:variant>
        <vt:i4>7733288</vt:i4>
      </vt:variant>
      <vt:variant>
        <vt:i4>525</vt:i4>
      </vt:variant>
      <vt:variant>
        <vt:i4>0</vt:i4>
      </vt:variant>
      <vt:variant>
        <vt:i4>5</vt:i4>
      </vt:variant>
      <vt:variant>
        <vt:lpwstr>https://achatsetventes.gc.ca/politiques-et-lignes-directrices/guide-des-clauses-et-conditions-uniformisees-d-achat/1/2004/actif</vt:lpwstr>
      </vt:variant>
      <vt:variant>
        <vt:lpwstr/>
      </vt:variant>
      <vt:variant>
        <vt:i4>7733295</vt:i4>
      </vt:variant>
      <vt:variant>
        <vt:i4>522</vt:i4>
      </vt:variant>
      <vt:variant>
        <vt:i4>0</vt:i4>
      </vt:variant>
      <vt:variant>
        <vt:i4>5</vt:i4>
      </vt:variant>
      <vt:variant>
        <vt:lpwstr>https://achatsetventes.gc.ca/politiques-et-lignes-directrices/guide-des-clauses-et-conditions-uniformisees-d-achat/1/2003/actif</vt:lpwstr>
      </vt:variant>
      <vt:variant>
        <vt:lpwstr/>
      </vt:variant>
      <vt:variant>
        <vt:i4>7733288</vt:i4>
      </vt:variant>
      <vt:variant>
        <vt:i4>519</vt:i4>
      </vt:variant>
      <vt:variant>
        <vt:i4>0</vt:i4>
      </vt:variant>
      <vt:variant>
        <vt:i4>5</vt:i4>
      </vt:variant>
      <vt:variant>
        <vt:lpwstr>https://achatsetventes.gc.ca/politiques-et-lignes-directrices/guide-des-clauses-et-conditions-uniformisees-d-achat/1/2004/actif</vt:lpwstr>
      </vt:variant>
      <vt:variant>
        <vt:lpwstr/>
      </vt:variant>
      <vt:variant>
        <vt:i4>7733295</vt:i4>
      </vt:variant>
      <vt:variant>
        <vt:i4>516</vt:i4>
      </vt:variant>
      <vt:variant>
        <vt:i4>0</vt:i4>
      </vt:variant>
      <vt:variant>
        <vt:i4>5</vt:i4>
      </vt:variant>
      <vt:variant>
        <vt:lpwstr>https://achatsetventes.gc.ca/politiques-et-lignes-directrices/guide-des-clauses-et-conditions-uniformisees-d-achat/1/2003/actif</vt:lpwstr>
      </vt:variant>
      <vt:variant>
        <vt:lpwstr/>
      </vt:variant>
      <vt:variant>
        <vt:i4>458879</vt:i4>
      </vt:variant>
      <vt:variant>
        <vt:i4>513</vt:i4>
      </vt:variant>
      <vt:variant>
        <vt:i4>0</vt:i4>
      </vt:variant>
      <vt:variant>
        <vt:i4>5</vt:i4>
      </vt:variant>
      <vt:variant>
        <vt:lpwstr>mailto:outilsapprov.proctools@tpsgc-pwgsc.gc.ca</vt:lpwstr>
      </vt:variant>
      <vt:variant>
        <vt:lpwstr/>
      </vt:variant>
      <vt:variant>
        <vt:i4>7930056</vt:i4>
      </vt:variant>
      <vt:variant>
        <vt:i4>510</vt:i4>
      </vt:variant>
      <vt:variant>
        <vt:i4>0</vt:i4>
      </vt:variant>
      <vt:variant>
        <vt:i4>5</vt:i4>
      </vt:variant>
      <vt:variant>
        <vt:lpwstr/>
      </vt:variant>
      <vt:variant>
        <vt:lpwstr>Table_des_matières_automatique</vt:lpwstr>
      </vt:variant>
      <vt:variant>
        <vt:i4>5373964</vt:i4>
      </vt:variant>
      <vt:variant>
        <vt:i4>507</vt:i4>
      </vt:variant>
      <vt:variant>
        <vt:i4>0</vt:i4>
      </vt:variant>
      <vt:variant>
        <vt:i4>5</vt:i4>
      </vt:variant>
      <vt:variant>
        <vt:lpwstr>http://achatsetventes.gc.ca/politiques-et-lignes-directrices/guide-des-clauses-et-conditions-uniformisees-d-achat</vt:lpwstr>
      </vt:variant>
      <vt:variant>
        <vt:lpwstr/>
      </vt:variant>
      <vt:variant>
        <vt:i4>5373964</vt:i4>
      </vt:variant>
      <vt:variant>
        <vt:i4>504</vt:i4>
      </vt:variant>
      <vt:variant>
        <vt:i4>0</vt:i4>
      </vt:variant>
      <vt:variant>
        <vt:i4>5</vt:i4>
      </vt:variant>
      <vt:variant>
        <vt:lpwstr>http://achatsetventes.gc.ca/politiques-et-lignes-directrices/guide-des-clauses-et-conditions-uniformisees-d-achat</vt:lpwstr>
      </vt:variant>
      <vt:variant>
        <vt:lpwstr/>
      </vt:variant>
      <vt:variant>
        <vt:i4>7733292</vt:i4>
      </vt:variant>
      <vt:variant>
        <vt:i4>501</vt:i4>
      </vt:variant>
      <vt:variant>
        <vt:i4>0</vt:i4>
      </vt:variant>
      <vt:variant>
        <vt:i4>5</vt:i4>
      </vt:variant>
      <vt:variant>
        <vt:lpwstr>https://achatsetventes.gc.ca/politiques-et-lignes-directrices/guide-des-clauses-et-conditions-uniformisees-d-achat/3/2020/actif</vt:lpwstr>
      </vt:variant>
      <vt:variant>
        <vt:lpwstr/>
      </vt:variant>
      <vt:variant>
        <vt:i4>7733292</vt:i4>
      </vt:variant>
      <vt:variant>
        <vt:i4>498</vt:i4>
      </vt:variant>
      <vt:variant>
        <vt:i4>0</vt:i4>
      </vt:variant>
      <vt:variant>
        <vt:i4>5</vt:i4>
      </vt:variant>
      <vt:variant>
        <vt:lpwstr>https://achatsetventes.gc.ca/politiques-et-lignes-directrices/guide-des-clauses-et-conditions-uniformisees-d-achat/3/2020/actif</vt:lpwstr>
      </vt:variant>
      <vt:variant>
        <vt:lpwstr/>
      </vt:variant>
      <vt:variant>
        <vt:i4>852037</vt:i4>
      </vt:variant>
      <vt:variant>
        <vt:i4>495</vt:i4>
      </vt:variant>
      <vt:variant>
        <vt:i4>0</vt:i4>
      </vt:variant>
      <vt:variant>
        <vt:i4>5</vt:i4>
      </vt:variant>
      <vt:variant>
        <vt:lpwstr>http://laws-lois.justice.gc.ca/fra/lois/f-11/</vt:lpwstr>
      </vt:variant>
      <vt:variant>
        <vt:lpwstr/>
      </vt:variant>
      <vt:variant>
        <vt:i4>7733292</vt:i4>
      </vt:variant>
      <vt:variant>
        <vt:i4>492</vt:i4>
      </vt:variant>
      <vt:variant>
        <vt:i4>0</vt:i4>
      </vt:variant>
      <vt:variant>
        <vt:i4>5</vt:i4>
      </vt:variant>
      <vt:variant>
        <vt:lpwstr>https://achatsetventes.gc.ca/politiques-et-lignes-directrices/guide-des-clauses-et-conditions-uniformisees-d-achat/3/2020/actif</vt:lpwstr>
      </vt:variant>
      <vt:variant>
        <vt:lpwstr/>
      </vt:variant>
      <vt:variant>
        <vt:i4>4194382</vt:i4>
      </vt:variant>
      <vt:variant>
        <vt:i4>489</vt:i4>
      </vt:variant>
      <vt:variant>
        <vt:i4>0</vt:i4>
      </vt:variant>
      <vt:variant>
        <vt:i4>5</vt:i4>
      </vt:variant>
      <vt:variant>
        <vt:lpwstr>http://achatsetventes.gc.ca/politiques-et-lignes-directrices/guide-des-approvisionnements/section/8/75/1</vt:lpwstr>
      </vt:variant>
      <vt:variant>
        <vt:lpwstr/>
      </vt:variant>
      <vt:variant>
        <vt:i4>7077992</vt:i4>
      </vt:variant>
      <vt:variant>
        <vt:i4>486</vt:i4>
      </vt:variant>
      <vt:variant>
        <vt:i4>0</vt:i4>
      </vt:variant>
      <vt:variant>
        <vt:i4>5</vt:i4>
      </vt:variant>
      <vt:variant>
        <vt:lpwstr>http://achatsetventes.gc.ca/politiques-et-lignes-directrices/guide-des-clauses-et-conditions-uniformisees-d-achat/5/S/S0010C/actif</vt:lpwstr>
      </vt:variant>
      <vt:variant>
        <vt:lpwstr/>
      </vt:variant>
      <vt:variant>
        <vt:i4>7733292</vt:i4>
      </vt:variant>
      <vt:variant>
        <vt:i4>483</vt:i4>
      </vt:variant>
      <vt:variant>
        <vt:i4>0</vt:i4>
      </vt:variant>
      <vt:variant>
        <vt:i4>5</vt:i4>
      </vt:variant>
      <vt:variant>
        <vt:lpwstr>https://achatsetventes.gc.ca/politiques-et-lignes-directrices/guide-des-clauses-et-conditions-uniformisees-d-achat/3/2020/actif</vt:lpwstr>
      </vt:variant>
      <vt:variant>
        <vt:lpwstr/>
      </vt:variant>
      <vt:variant>
        <vt:i4>6291513</vt:i4>
      </vt:variant>
      <vt:variant>
        <vt:i4>480</vt:i4>
      </vt:variant>
      <vt:variant>
        <vt:i4>0</vt:i4>
      </vt:variant>
      <vt:variant>
        <vt:i4>5</vt:i4>
      </vt:variant>
      <vt:variant>
        <vt:lpwstr>https://achatsetventes.gc.ca/politiques-et-lignes-directrices/guide-des-clauses-et-conditions-uniformisees-d-achat</vt:lpwstr>
      </vt:variant>
      <vt:variant>
        <vt:lpwstr/>
      </vt:variant>
      <vt:variant>
        <vt:i4>7733292</vt:i4>
      </vt:variant>
      <vt:variant>
        <vt:i4>477</vt:i4>
      </vt:variant>
      <vt:variant>
        <vt:i4>0</vt:i4>
      </vt:variant>
      <vt:variant>
        <vt:i4>5</vt:i4>
      </vt:variant>
      <vt:variant>
        <vt:lpwstr>https://achatsetventes.gc.ca/politiques-et-lignes-directrices/guide-des-clauses-et-conditions-uniformisees-d-achat/3/2020/actif</vt:lpwstr>
      </vt:variant>
      <vt:variant>
        <vt:lpwstr/>
      </vt:variant>
      <vt:variant>
        <vt:i4>6553659</vt:i4>
      </vt:variant>
      <vt:variant>
        <vt:i4>474</vt:i4>
      </vt:variant>
      <vt:variant>
        <vt:i4>0</vt:i4>
      </vt:variant>
      <vt:variant>
        <vt:i4>5</vt:i4>
      </vt:variant>
      <vt:variant>
        <vt:lpwstr>http://ssi-iss.tpsgc-pwgsc.gc.ca/index-fra.html</vt:lpwstr>
      </vt:variant>
      <vt:variant>
        <vt:lpwstr/>
      </vt:variant>
      <vt:variant>
        <vt:i4>6553659</vt:i4>
      </vt:variant>
      <vt:variant>
        <vt:i4>471</vt:i4>
      </vt:variant>
      <vt:variant>
        <vt:i4>0</vt:i4>
      </vt:variant>
      <vt:variant>
        <vt:i4>5</vt:i4>
      </vt:variant>
      <vt:variant>
        <vt:lpwstr>http://ssi-iss.tpsgc-pwgsc.gc.ca/index-fra.html</vt:lpwstr>
      </vt:variant>
      <vt:variant>
        <vt:lpwstr/>
      </vt:variant>
      <vt:variant>
        <vt:i4>5177344</vt:i4>
      </vt:variant>
      <vt:variant>
        <vt:i4>468</vt:i4>
      </vt:variant>
      <vt:variant>
        <vt:i4>0</vt:i4>
      </vt:variant>
      <vt:variant>
        <vt:i4>5</vt:i4>
      </vt:variant>
      <vt:variant>
        <vt:lpwstr>https://achatsetventes.gc.ca/politiques-et-lignes-directrices/guide-des-approvisionnements/section/9</vt:lpwstr>
      </vt:variant>
      <vt:variant>
        <vt:lpwstr/>
      </vt:variant>
      <vt:variant>
        <vt:i4>7929962</vt:i4>
      </vt:variant>
      <vt:variant>
        <vt:i4>465</vt:i4>
      </vt:variant>
      <vt:variant>
        <vt:i4>0</vt:i4>
      </vt:variant>
      <vt:variant>
        <vt:i4>5</vt:i4>
      </vt:variant>
      <vt:variant>
        <vt:lpwstr>http://achatsetventes.gc.ca/politiques-et-lignes-directrices/guide-des-clauses-et-conditions-uniformisees-d-achat/5/A/A3002T/actif</vt:lpwstr>
      </vt:variant>
      <vt:variant>
        <vt:lpwstr/>
      </vt:variant>
      <vt:variant>
        <vt:i4>7995502</vt:i4>
      </vt:variant>
      <vt:variant>
        <vt:i4>462</vt:i4>
      </vt:variant>
      <vt:variant>
        <vt:i4>0</vt:i4>
      </vt:variant>
      <vt:variant>
        <vt:i4>5</vt:i4>
      </vt:variant>
      <vt:variant>
        <vt:lpwstr>http://achatsetventes.gc.ca/politiques-et-lignes-directrices/guide-des-clauses-et-conditions-uniformisees-d-achat/5/S/S3036T/actif</vt:lpwstr>
      </vt:variant>
      <vt:variant>
        <vt:lpwstr/>
      </vt:variant>
      <vt:variant>
        <vt:i4>7995501</vt:i4>
      </vt:variant>
      <vt:variant>
        <vt:i4>459</vt:i4>
      </vt:variant>
      <vt:variant>
        <vt:i4>0</vt:i4>
      </vt:variant>
      <vt:variant>
        <vt:i4>5</vt:i4>
      </vt:variant>
      <vt:variant>
        <vt:lpwstr>http://achatsetventes.gc.ca/politiques-et-lignes-directrices/guide-des-clauses-et-conditions-uniformisees-d-achat/5/S/S3035T/actif</vt:lpwstr>
      </vt:variant>
      <vt:variant>
        <vt:lpwstr/>
      </vt:variant>
      <vt:variant>
        <vt:i4>7733284</vt:i4>
      </vt:variant>
      <vt:variant>
        <vt:i4>456</vt:i4>
      </vt:variant>
      <vt:variant>
        <vt:i4>0</vt:i4>
      </vt:variant>
      <vt:variant>
        <vt:i4>5</vt:i4>
      </vt:variant>
      <vt:variant>
        <vt:lpwstr>https://achatsetventes.gc.ca/politiques-et-lignes-directrices/guide-des-clauses-et-conditions-uniformisees-d-achat/1/2008/actif</vt:lpwstr>
      </vt:variant>
      <vt:variant>
        <vt:lpwstr/>
      </vt:variant>
      <vt:variant>
        <vt:i4>7995496</vt:i4>
      </vt:variant>
      <vt:variant>
        <vt:i4>453</vt:i4>
      </vt:variant>
      <vt:variant>
        <vt:i4>0</vt:i4>
      </vt:variant>
      <vt:variant>
        <vt:i4>5</vt:i4>
      </vt:variant>
      <vt:variant>
        <vt:lpwstr>http://achatsetventes.gc.ca/politiques-et-lignes-directrices/guide-des-clauses-et-conditions-uniformisees-d-achat/5/S/S1010T/actif</vt:lpwstr>
      </vt:variant>
      <vt:variant>
        <vt:lpwstr/>
      </vt:variant>
      <vt:variant>
        <vt:i4>7995496</vt:i4>
      </vt:variant>
      <vt:variant>
        <vt:i4>450</vt:i4>
      </vt:variant>
      <vt:variant>
        <vt:i4>0</vt:i4>
      </vt:variant>
      <vt:variant>
        <vt:i4>5</vt:i4>
      </vt:variant>
      <vt:variant>
        <vt:lpwstr>http://achatsetventes.gc.ca/politiques-et-lignes-directrices/guide-des-clauses-et-conditions-uniformisees-d-achat/5/S/S1010T/actif</vt:lpwstr>
      </vt:variant>
      <vt:variant>
        <vt:lpwstr/>
      </vt:variant>
      <vt:variant>
        <vt:i4>7929965</vt:i4>
      </vt:variant>
      <vt:variant>
        <vt:i4>447</vt:i4>
      </vt:variant>
      <vt:variant>
        <vt:i4>0</vt:i4>
      </vt:variant>
      <vt:variant>
        <vt:i4>5</vt:i4>
      </vt:variant>
      <vt:variant>
        <vt:lpwstr>http://achatsetventes.gc.ca/politiques-et-lignes-directrices/guide-des-clauses-et-conditions-uniformisees-d-achat/5/S/S3005T/actif</vt:lpwstr>
      </vt:variant>
      <vt:variant>
        <vt:lpwstr/>
      </vt:variant>
      <vt:variant>
        <vt:i4>7929965</vt:i4>
      </vt:variant>
      <vt:variant>
        <vt:i4>444</vt:i4>
      </vt:variant>
      <vt:variant>
        <vt:i4>0</vt:i4>
      </vt:variant>
      <vt:variant>
        <vt:i4>5</vt:i4>
      </vt:variant>
      <vt:variant>
        <vt:lpwstr>http://achatsetventes.gc.ca/politiques-et-lignes-directrices/guide-des-clauses-et-conditions-uniformisees-d-achat/5/S/S3005T/actif</vt:lpwstr>
      </vt:variant>
      <vt:variant>
        <vt:lpwstr/>
      </vt:variant>
      <vt:variant>
        <vt:i4>7733284</vt:i4>
      </vt:variant>
      <vt:variant>
        <vt:i4>441</vt:i4>
      </vt:variant>
      <vt:variant>
        <vt:i4>0</vt:i4>
      </vt:variant>
      <vt:variant>
        <vt:i4>5</vt:i4>
      </vt:variant>
      <vt:variant>
        <vt:lpwstr>https://achatsetventes.gc.ca/politiques-et-lignes-directrices/guide-des-clauses-et-conditions-uniformisees-d-achat/1/2008/actif</vt:lpwstr>
      </vt:variant>
      <vt:variant>
        <vt:lpwstr/>
      </vt:variant>
      <vt:variant>
        <vt:i4>5636127</vt:i4>
      </vt:variant>
      <vt:variant>
        <vt:i4>438</vt:i4>
      </vt:variant>
      <vt:variant>
        <vt:i4>0</vt:i4>
      </vt:variant>
      <vt:variant>
        <vt:i4>5</vt:i4>
      </vt:variant>
      <vt:variant>
        <vt:lpwstr>https://achatsetventes.gc.ca/politiques-et-lignes-directrices/guide-des-approvisionnements/section/8/70/2</vt:lpwstr>
      </vt:variant>
      <vt:variant>
        <vt:lpwstr/>
      </vt:variant>
      <vt:variant>
        <vt:i4>7471210</vt:i4>
      </vt:variant>
      <vt:variant>
        <vt:i4>435</vt:i4>
      </vt:variant>
      <vt:variant>
        <vt:i4>0</vt:i4>
      </vt:variant>
      <vt:variant>
        <vt:i4>5</vt:i4>
      </vt:variant>
      <vt:variant>
        <vt:lpwstr>http://achatsetventes.gc.ca/politiques-et-lignes-directrices/guide-des-approvisionnements/section/5/16</vt:lpwstr>
      </vt:variant>
      <vt:variant>
        <vt:lpwstr/>
      </vt:variant>
      <vt:variant>
        <vt:i4>7340079</vt:i4>
      </vt:variant>
      <vt:variant>
        <vt:i4>432</vt:i4>
      </vt:variant>
      <vt:variant>
        <vt:i4>0</vt:i4>
      </vt:variant>
      <vt:variant>
        <vt:i4>5</vt:i4>
      </vt:variant>
      <vt:variant>
        <vt:lpwstr>https://achatsetventes.gc.ca/politiques-et-lignes-directrices/guide-des-approvisionnements/section/4/21</vt:lpwstr>
      </vt:variant>
      <vt:variant>
        <vt:lpwstr/>
      </vt:variant>
      <vt:variant>
        <vt:i4>7733284</vt:i4>
      </vt:variant>
      <vt:variant>
        <vt:i4>429</vt:i4>
      </vt:variant>
      <vt:variant>
        <vt:i4>0</vt:i4>
      </vt:variant>
      <vt:variant>
        <vt:i4>5</vt:i4>
      </vt:variant>
      <vt:variant>
        <vt:lpwstr>https://achatsetventes.gc.ca/politiques-et-lignes-directrices/guide-des-clauses-et-conditions-uniformisees-d-achat/1/2008/actif</vt:lpwstr>
      </vt:variant>
      <vt:variant>
        <vt:lpwstr/>
      </vt:variant>
      <vt:variant>
        <vt:i4>7930056</vt:i4>
      </vt:variant>
      <vt:variant>
        <vt:i4>426</vt:i4>
      </vt:variant>
      <vt:variant>
        <vt:i4>0</vt:i4>
      </vt:variant>
      <vt:variant>
        <vt:i4>5</vt:i4>
      </vt:variant>
      <vt:variant>
        <vt:lpwstr/>
      </vt:variant>
      <vt:variant>
        <vt:lpwstr>Table_des_matières_automatique</vt:lpwstr>
      </vt:variant>
      <vt:variant>
        <vt:i4>7929960</vt:i4>
      </vt:variant>
      <vt:variant>
        <vt:i4>423</vt:i4>
      </vt:variant>
      <vt:variant>
        <vt:i4>0</vt:i4>
      </vt:variant>
      <vt:variant>
        <vt:i4>5</vt:i4>
      </vt:variant>
      <vt:variant>
        <vt:lpwstr>http://achatsetventes.gc.ca/politiques-et-lignes-directrices/guide-des-clauses-et-conditions-uniformisees-d-achat/5/S/S0030T/actif</vt:lpwstr>
      </vt:variant>
      <vt:variant>
        <vt:lpwstr/>
      </vt:variant>
      <vt:variant>
        <vt:i4>7340139</vt:i4>
      </vt:variant>
      <vt:variant>
        <vt:i4>420</vt:i4>
      </vt:variant>
      <vt:variant>
        <vt:i4>0</vt:i4>
      </vt:variant>
      <vt:variant>
        <vt:i4>5</vt:i4>
      </vt:variant>
      <vt:variant>
        <vt:lpwstr>http://achatsetventes.gc.ca/politiques-et-lignes-directrices/guide-des-clauses-et-conditions-uniformisees-d-achat/5/A/A9033T/actif</vt:lpwstr>
      </vt:variant>
      <vt:variant>
        <vt:lpwstr/>
      </vt:variant>
      <vt:variant>
        <vt:i4>7929960</vt:i4>
      </vt:variant>
      <vt:variant>
        <vt:i4>417</vt:i4>
      </vt:variant>
      <vt:variant>
        <vt:i4>0</vt:i4>
      </vt:variant>
      <vt:variant>
        <vt:i4>5</vt:i4>
      </vt:variant>
      <vt:variant>
        <vt:lpwstr>http://achatsetventes.gc.ca/politiques-et-lignes-directrices/guide-des-clauses-et-conditions-uniformisees-d-achat/5/S/S0030T/actif</vt:lpwstr>
      </vt:variant>
      <vt:variant>
        <vt:lpwstr/>
      </vt:variant>
      <vt:variant>
        <vt:i4>7864427</vt:i4>
      </vt:variant>
      <vt:variant>
        <vt:i4>414</vt:i4>
      </vt:variant>
      <vt:variant>
        <vt:i4>0</vt:i4>
      </vt:variant>
      <vt:variant>
        <vt:i4>5</vt:i4>
      </vt:variant>
      <vt:variant>
        <vt:lpwstr>http://achatsetventes.gc.ca/politiques-et-lignes-directrices/guide-des-clauses-et-conditions-uniformisees-d-achat/5/S/S2003T/actif</vt:lpwstr>
      </vt:variant>
      <vt:variant>
        <vt:lpwstr/>
      </vt:variant>
      <vt:variant>
        <vt:i4>7864426</vt:i4>
      </vt:variant>
      <vt:variant>
        <vt:i4>411</vt:i4>
      </vt:variant>
      <vt:variant>
        <vt:i4>0</vt:i4>
      </vt:variant>
      <vt:variant>
        <vt:i4>5</vt:i4>
      </vt:variant>
      <vt:variant>
        <vt:lpwstr>http://achatsetventes.gc.ca/politiques-et-lignes-directrices/guide-des-clauses-et-conditions-uniformisees-d-achat/5/S/S2002T/actif</vt:lpwstr>
      </vt:variant>
      <vt:variant>
        <vt:lpwstr/>
      </vt:variant>
      <vt:variant>
        <vt:i4>7864425</vt:i4>
      </vt:variant>
      <vt:variant>
        <vt:i4>408</vt:i4>
      </vt:variant>
      <vt:variant>
        <vt:i4>0</vt:i4>
      </vt:variant>
      <vt:variant>
        <vt:i4>5</vt:i4>
      </vt:variant>
      <vt:variant>
        <vt:lpwstr>http://achatsetventes.gc.ca/politiques-et-lignes-directrices/guide-des-clauses-et-conditions-uniformisees-d-achat/5/S/S2001T/actif</vt:lpwstr>
      </vt:variant>
      <vt:variant>
        <vt:lpwstr/>
      </vt:variant>
      <vt:variant>
        <vt:i4>8061034</vt:i4>
      </vt:variant>
      <vt:variant>
        <vt:i4>405</vt:i4>
      </vt:variant>
      <vt:variant>
        <vt:i4>0</vt:i4>
      </vt:variant>
      <vt:variant>
        <vt:i4>5</vt:i4>
      </vt:variant>
      <vt:variant>
        <vt:lpwstr>http://achatsetventes.gc.ca/politiques-et-lignes-directrices/guide-des-clauses-et-conditions-uniformisees-d-achat/5/S/S1002T/actif</vt:lpwstr>
      </vt:variant>
      <vt:variant>
        <vt:lpwstr/>
      </vt:variant>
      <vt:variant>
        <vt:i4>8061033</vt:i4>
      </vt:variant>
      <vt:variant>
        <vt:i4>402</vt:i4>
      </vt:variant>
      <vt:variant>
        <vt:i4>0</vt:i4>
      </vt:variant>
      <vt:variant>
        <vt:i4>5</vt:i4>
      </vt:variant>
      <vt:variant>
        <vt:lpwstr>http://achatsetventes.gc.ca/politiques-et-lignes-directrices/guide-des-clauses-et-conditions-uniformisees-d-achat/5/S/S1001T/actif</vt:lpwstr>
      </vt:variant>
      <vt:variant>
        <vt:lpwstr/>
      </vt:variant>
      <vt:variant>
        <vt:i4>4194374</vt:i4>
      </vt:variant>
      <vt:variant>
        <vt:i4>399</vt:i4>
      </vt:variant>
      <vt:variant>
        <vt:i4>0</vt:i4>
      </vt:variant>
      <vt:variant>
        <vt:i4>5</vt:i4>
      </vt:variant>
      <vt:variant>
        <vt:lpwstr>http://achatsetventes.gc.ca/politiques-et-lignes-directrices/guide-des-approvisionnements/section/4/35/1</vt:lpwstr>
      </vt:variant>
      <vt:variant>
        <vt:lpwstr/>
      </vt:variant>
      <vt:variant>
        <vt:i4>2687086</vt:i4>
      </vt:variant>
      <vt:variant>
        <vt:i4>396</vt:i4>
      </vt:variant>
      <vt:variant>
        <vt:i4>0</vt:i4>
      </vt:variant>
      <vt:variant>
        <vt:i4>5</vt:i4>
      </vt:variant>
      <vt:variant>
        <vt:lpwstr>http://achatsetventes.gc.ca/politiques-et-lignes-directrices/guide-des-clauses-et-conditions-uniformisees-d-achat/1/2008/actif</vt:lpwstr>
      </vt:variant>
      <vt:variant>
        <vt:lpwstr/>
      </vt:variant>
      <vt:variant>
        <vt:i4>6553659</vt:i4>
      </vt:variant>
      <vt:variant>
        <vt:i4>393</vt:i4>
      </vt:variant>
      <vt:variant>
        <vt:i4>0</vt:i4>
      </vt:variant>
      <vt:variant>
        <vt:i4>5</vt:i4>
      </vt:variant>
      <vt:variant>
        <vt:lpwstr>http://ssi-iss.tpsgc-pwgsc.gc.ca/index-fra.html</vt:lpwstr>
      </vt:variant>
      <vt:variant>
        <vt:lpwstr/>
      </vt:variant>
      <vt:variant>
        <vt:i4>4522054</vt:i4>
      </vt:variant>
      <vt:variant>
        <vt:i4>390</vt:i4>
      </vt:variant>
      <vt:variant>
        <vt:i4>0</vt:i4>
      </vt:variant>
      <vt:variant>
        <vt:i4>5</vt:i4>
      </vt:variant>
      <vt:variant>
        <vt:lpwstr>http://achatsetventes.gc.ca/politiques-et-lignes-directrices/guide-des-approvisionnements/section/4/30/15</vt:lpwstr>
      </vt:variant>
      <vt:variant>
        <vt:lpwstr/>
      </vt:variant>
      <vt:variant>
        <vt:i4>5308430</vt:i4>
      </vt:variant>
      <vt:variant>
        <vt:i4>387</vt:i4>
      </vt:variant>
      <vt:variant>
        <vt:i4>0</vt:i4>
      </vt:variant>
      <vt:variant>
        <vt:i4>5</vt:i4>
      </vt:variant>
      <vt:variant>
        <vt:lpwstr>http://www.tpsgc-pwgsc.gc.ca/ecologisation-greening/achats-procurement/politique-policy-fra.html</vt:lpwstr>
      </vt:variant>
      <vt:variant>
        <vt:lpwstr/>
      </vt:variant>
      <vt:variant>
        <vt:i4>7733284</vt:i4>
      </vt:variant>
      <vt:variant>
        <vt:i4>384</vt:i4>
      </vt:variant>
      <vt:variant>
        <vt:i4>0</vt:i4>
      </vt:variant>
      <vt:variant>
        <vt:i4>5</vt:i4>
      </vt:variant>
      <vt:variant>
        <vt:lpwstr>https://achatsetventes.gc.ca/politiques-et-lignes-directrices/guide-des-clauses-et-conditions-uniformisees-d-achat/1/2008/actif</vt:lpwstr>
      </vt:variant>
      <vt:variant>
        <vt:lpwstr/>
      </vt:variant>
      <vt:variant>
        <vt:i4>7995439</vt:i4>
      </vt:variant>
      <vt:variant>
        <vt:i4>381</vt:i4>
      </vt:variant>
      <vt:variant>
        <vt:i4>0</vt:i4>
      </vt:variant>
      <vt:variant>
        <vt:i4>5</vt:i4>
      </vt:variant>
      <vt:variant>
        <vt:lpwstr>https://achatsetventes.gc.ca/politiques-et-lignes-directrices/guide-des-approvisionnements/section/4/80</vt:lpwstr>
      </vt:variant>
      <vt:variant>
        <vt:lpwstr/>
      </vt:variant>
      <vt:variant>
        <vt:i4>7733284</vt:i4>
      </vt:variant>
      <vt:variant>
        <vt:i4>378</vt:i4>
      </vt:variant>
      <vt:variant>
        <vt:i4>0</vt:i4>
      </vt:variant>
      <vt:variant>
        <vt:i4>5</vt:i4>
      </vt:variant>
      <vt:variant>
        <vt:lpwstr>https://achatsetventes.gc.ca/politiques-et-lignes-directrices/guide-des-clauses-et-conditions-uniformisees-d-achat/1/2008/actif</vt:lpwstr>
      </vt:variant>
      <vt:variant>
        <vt:lpwstr/>
      </vt:variant>
      <vt:variant>
        <vt:i4>2293851</vt:i4>
      </vt:variant>
      <vt:variant>
        <vt:i4>375</vt:i4>
      </vt:variant>
      <vt:variant>
        <vt:i4>0</vt:i4>
      </vt:variant>
      <vt:variant>
        <vt:i4>5</vt:i4>
      </vt:variant>
      <vt:variant>
        <vt:lpwstr>http://www.travail.gc.ca/fra/normes_equite/eq/emp/pcf/index.shtml</vt:lpwstr>
      </vt:variant>
      <vt:variant>
        <vt:lpwstr/>
      </vt:variant>
      <vt:variant>
        <vt:i4>8323199</vt:i4>
      </vt:variant>
      <vt:variant>
        <vt:i4>372</vt:i4>
      </vt:variant>
      <vt:variant>
        <vt:i4>0</vt:i4>
      </vt:variant>
      <vt:variant>
        <vt:i4>5</vt:i4>
      </vt:variant>
      <vt:variant>
        <vt:lpwstr>http://www.tbs-sct.gc.ca/pol/doc-fra.aspx?id=14676&amp;section=text</vt:lpwstr>
      </vt:variant>
      <vt:variant>
        <vt:lpwstr/>
      </vt:variant>
      <vt:variant>
        <vt:i4>196726</vt:i4>
      </vt:variant>
      <vt:variant>
        <vt:i4>369</vt:i4>
      </vt:variant>
      <vt:variant>
        <vt:i4>0</vt:i4>
      </vt:variant>
      <vt:variant>
        <vt:i4>5</vt:i4>
      </vt:variant>
      <vt:variant>
        <vt:lpwstr>http://www.tbs-sct.gc.ca/pubs_pol/dcgpubs/ContPolNotices/2012/10-31-fra.asp</vt:lpwstr>
      </vt:variant>
      <vt:variant>
        <vt:lpwstr/>
      </vt:variant>
      <vt:variant>
        <vt:i4>5373964</vt:i4>
      </vt:variant>
      <vt:variant>
        <vt:i4>366</vt:i4>
      </vt:variant>
      <vt:variant>
        <vt:i4>0</vt:i4>
      </vt:variant>
      <vt:variant>
        <vt:i4>5</vt:i4>
      </vt:variant>
      <vt:variant>
        <vt:lpwstr>http://achatsetventes.gc.ca/politiques-et-lignes-directrices/guide-des-clauses-et-conditions-uniformisees-d-achat</vt:lpwstr>
      </vt:variant>
      <vt:variant>
        <vt:lpwstr/>
      </vt:variant>
      <vt:variant>
        <vt:i4>7733284</vt:i4>
      </vt:variant>
      <vt:variant>
        <vt:i4>363</vt:i4>
      </vt:variant>
      <vt:variant>
        <vt:i4>0</vt:i4>
      </vt:variant>
      <vt:variant>
        <vt:i4>5</vt:i4>
      </vt:variant>
      <vt:variant>
        <vt:lpwstr>https://achatsetventes.gc.ca/politiques-et-lignes-directrices/guide-des-clauses-et-conditions-uniformisees-d-achat/1/2008/actif</vt:lpwstr>
      </vt:variant>
      <vt:variant>
        <vt:lpwstr/>
      </vt:variant>
      <vt:variant>
        <vt:i4>5373964</vt:i4>
      </vt:variant>
      <vt:variant>
        <vt:i4>360</vt:i4>
      </vt:variant>
      <vt:variant>
        <vt:i4>0</vt:i4>
      </vt:variant>
      <vt:variant>
        <vt:i4>5</vt:i4>
      </vt:variant>
      <vt:variant>
        <vt:lpwstr>http://achatsetventes.gc.ca/politiques-et-lignes-directrices/guide-des-clauses-et-conditions-uniformisees-d-achat</vt:lpwstr>
      </vt:variant>
      <vt:variant>
        <vt:lpwstr/>
      </vt:variant>
      <vt:variant>
        <vt:i4>7733284</vt:i4>
      </vt:variant>
      <vt:variant>
        <vt:i4>357</vt:i4>
      </vt:variant>
      <vt:variant>
        <vt:i4>0</vt:i4>
      </vt:variant>
      <vt:variant>
        <vt:i4>5</vt:i4>
      </vt:variant>
      <vt:variant>
        <vt:lpwstr>https://achatsetventes.gc.ca/politiques-et-lignes-directrices/guide-des-clauses-et-conditions-uniformisees-d-achat/1/2008/actif</vt:lpwstr>
      </vt:variant>
      <vt:variant>
        <vt:lpwstr/>
      </vt:variant>
      <vt:variant>
        <vt:i4>7733284</vt:i4>
      </vt:variant>
      <vt:variant>
        <vt:i4>354</vt:i4>
      </vt:variant>
      <vt:variant>
        <vt:i4>0</vt:i4>
      </vt:variant>
      <vt:variant>
        <vt:i4>5</vt:i4>
      </vt:variant>
      <vt:variant>
        <vt:lpwstr>https://achatsetventes.gc.ca/politiques-et-lignes-directrices/guide-des-clauses-et-conditions-uniformisees-d-achat/1/2008/actif</vt:lpwstr>
      </vt:variant>
      <vt:variant>
        <vt:lpwstr/>
      </vt:variant>
      <vt:variant>
        <vt:i4>7733284</vt:i4>
      </vt:variant>
      <vt:variant>
        <vt:i4>351</vt:i4>
      </vt:variant>
      <vt:variant>
        <vt:i4>0</vt:i4>
      </vt:variant>
      <vt:variant>
        <vt:i4>5</vt:i4>
      </vt:variant>
      <vt:variant>
        <vt:lpwstr>https://achatsetventes.gc.ca/politiques-et-lignes-directrices/guide-des-clauses-et-conditions-uniformisees-d-achat/1/2008/actif</vt:lpwstr>
      </vt:variant>
      <vt:variant>
        <vt:lpwstr/>
      </vt:variant>
      <vt:variant>
        <vt:i4>6291513</vt:i4>
      </vt:variant>
      <vt:variant>
        <vt:i4>348</vt:i4>
      </vt:variant>
      <vt:variant>
        <vt:i4>0</vt:i4>
      </vt:variant>
      <vt:variant>
        <vt:i4>5</vt:i4>
      </vt:variant>
      <vt:variant>
        <vt:lpwstr>https://achatsetventes.gc.ca/politiques-et-lignes-directrices/guide-des-clauses-et-conditions-uniformisees-d-achat</vt:lpwstr>
      </vt:variant>
      <vt:variant>
        <vt:lpwstr/>
      </vt:variant>
      <vt:variant>
        <vt:i4>7733284</vt:i4>
      </vt:variant>
      <vt:variant>
        <vt:i4>345</vt:i4>
      </vt:variant>
      <vt:variant>
        <vt:i4>0</vt:i4>
      </vt:variant>
      <vt:variant>
        <vt:i4>5</vt:i4>
      </vt:variant>
      <vt:variant>
        <vt:lpwstr>https://achatsetventes.gc.ca/politiques-et-lignes-directrices/guide-des-clauses-et-conditions-uniformisees-d-achat/1/2008/actif</vt:lpwstr>
      </vt:variant>
      <vt:variant>
        <vt:lpwstr/>
      </vt:variant>
      <vt:variant>
        <vt:i4>7405677</vt:i4>
      </vt:variant>
      <vt:variant>
        <vt:i4>342</vt:i4>
      </vt:variant>
      <vt:variant>
        <vt:i4>0</vt:i4>
      </vt:variant>
      <vt:variant>
        <vt:i4>5</vt:i4>
      </vt:variant>
      <vt:variant>
        <vt:lpwstr>http://achatsetventes.gc.ca/politiques-et-lignes-directrices/guide-des-approvisionnements/section/7/45</vt:lpwstr>
      </vt:variant>
      <vt:variant>
        <vt:lpwstr/>
      </vt:variant>
      <vt:variant>
        <vt:i4>7602285</vt:i4>
      </vt:variant>
      <vt:variant>
        <vt:i4>339</vt:i4>
      </vt:variant>
      <vt:variant>
        <vt:i4>0</vt:i4>
      </vt:variant>
      <vt:variant>
        <vt:i4>5</vt:i4>
      </vt:variant>
      <vt:variant>
        <vt:lpwstr>http://achatsetventes.gc.ca/politiques-et-lignes-directrices/guide-des-approvisionnements/section/7/40</vt:lpwstr>
      </vt:variant>
      <vt:variant>
        <vt:lpwstr/>
      </vt:variant>
      <vt:variant>
        <vt:i4>7405674</vt:i4>
      </vt:variant>
      <vt:variant>
        <vt:i4>336</vt:i4>
      </vt:variant>
      <vt:variant>
        <vt:i4>0</vt:i4>
      </vt:variant>
      <vt:variant>
        <vt:i4>5</vt:i4>
      </vt:variant>
      <vt:variant>
        <vt:lpwstr>http://achatsetventes.gc.ca/politiques-et-lignes-directrices/guide-des-approvisionnements/section/7/35</vt:lpwstr>
      </vt:variant>
      <vt:variant>
        <vt:lpwstr/>
      </vt:variant>
      <vt:variant>
        <vt:i4>8126568</vt:i4>
      </vt:variant>
      <vt:variant>
        <vt:i4>333</vt:i4>
      </vt:variant>
      <vt:variant>
        <vt:i4>0</vt:i4>
      </vt:variant>
      <vt:variant>
        <vt:i4>5</vt:i4>
      </vt:variant>
      <vt:variant>
        <vt:lpwstr>http://achatsetventes.gc.ca/politiques-et-lignes-directrices/guide-des-clauses-et-conditions-uniformisees-d-achat/5/A/A3050T/actif</vt:lpwstr>
      </vt:variant>
      <vt:variant>
        <vt:lpwstr/>
      </vt:variant>
      <vt:variant>
        <vt:i4>8126568</vt:i4>
      </vt:variant>
      <vt:variant>
        <vt:i4>330</vt:i4>
      </vt:variant>
      <vt:variant>
        <vt:i4>0</vt:i4>
      </vt:variant>
      <vt:variant>
        <vt:i4>5</vt:i4>
      </vt:variant>
      <vt:variant>
        <vt:lpwstr>http://achatsetventes.gc.ca/politiques-et-lignes-directrices/guide-des-clauses-et-conditions-uniformisees-d-achat/5/A/A3050T/actif</vt:lpwstr>
      </vt:variant>
      <vt:variant>
        <vt:lpwstr/>
      </vt:variant>
      <vt:variant>
        <vt:i4>6553659</vt:i4>
      </vt:variant>
      <vt:variant>
        <vt:i4>327</vt:i4>
      </vt:variant>
      <vt:variant>
        <vt:i4>0</vt:i4>
      </vt:variant>
      <vt:variant>
        <vt:i4>5</vt:i4>
      </vt:variant>
      <vt:variant>
        <vt:lpwstr>http://ssi-iss.tpsgc-pwgsc.gc.ca/index-fra.html</vt:lpwstr>
      </vt:variant>
      <vt:variant>
        <vt:lpwstr/>
      </vt:variant>
      <vt:variant>
        <vt:i4>6553659</vt:i4>
      </vt:variant>
      <vt:variant>
        <vt:i4>324</vt:i4>
      </vt:variant>
      <vt:variant>
        <vt:i4>0</vt:i4>
      </vt:variant>
      <vt:variant>
        <vt:i4>5</vt:i4>
      </vt:variant>
      <vt:variant>
        <vt:lpwstr>http://ssi-iss.tpsgc-pwgsc.gc.ca/index-fra.html</vt:lpwstr>
      </vt:variant>
      <vt:variant>
        <vt:lpwstr/>
      </vt:variant>
      <vt:variant>
        <vt:i4>7209006</vt:i4>
      </vt:variant>
      <vt:variant>
        <vt:i4>321</vt:i4>
      </vt:variant>
      <vt:variant>
        <vt:i4>0</vt:i4>
      </vt:variant>
      <vt:variant>
        <vt:i4>5</vt:i4>
      </vt:variant>
      <vt:variant>
        <vt:lpwstr>https://achatsetventes.gc.ca/politiques-et-lignes-directrices/guide-des-approvisionnements/section/4/30/10</vt:lpwstr>
      </vt:variant>
      <vt:variant>
        <vt:lpwstr/>
      </vt:variant>
      <vt:variant>
        <vt:i4>6553659</vt:i4>
      </vt:variant>
      <vt:variant>
        <vt:i4>318</vt:i4>
      </vt:variant>
      <vt:variant>
        <vt:i4>0</vt:i4>
      </vt:variant>
      <vt:variant>
        <vt:i4>5</vt:i4>
      </vt:variant>
      <vt:variant>
        <vt:lpwstr>http://ssi-iss.tpsgc-pwgsc.gc.ca/index-fra.html</vt:lpwstr>
      </vt:variant>
      <vt:variant>
        <vt:lpwstr/>
      </vt:variant>
      <vt:variant>
        <vt:i4>1441798</vt:i4>
      </vt:variant>
      <vt:variant>
        <vt:i4>315</vt:i4>
      </vt:variant>
      <vt:variant>
        <vt:i4>0</vt:i4>
      </vt:variant>
      <vt:variant>
        <vt:i4>5</vt:i4>
      </vt:variant>
      <vt:variant>
        <vt:lpwstr>https://achatsetventes.gc.ca/politiques-et-lignes-directrices/guide-des-approvisionnements/annexe/9/4</vt:lpwstr>
      </vt:variant>
      <vt:variant>
        <vt:lpwstr/>
      </vt:variant>
      <vt:variant>
        <vt:i4>7340079</vt:i4>
      </vt:variant>
      <vt:variant>
        <vt:i4>312</vt:i4>
      </vt:variant>
      <vt:variant>
        <vt:i4>0</vt:i4>
      </vt:variant>
      <vt:variant>
        <vt:i4>5</vt:i4>
      </vt:variant>
      <vt:variant>
        <vt:lpwstr>https://achatsetventes.gc.ca/politiques-et-lignes-directrices/guide-des-approvisionnements/section/4/21</vt:lpwstr>
      </vt:variant>
      <vt:variant>
        <vt:lpwstr/>
      </vt:variant>
      <vt:variant>
        <vt:i4>7733284</vt:i4>
      </vt:variant>
      <vt:variant>
        <vt:i4>309</vt:i4>
      </vt:variant>
      <vt:variant>
        <vt:i4>0</vt:i4>
      </vt:variant>
      <vt:variant>
        <vt:i4>5</vt:i4>
      </vt:variant>
      <vt:variant>
        <vt:lpwstr>https://achatsetventes.gc.ca/politiques-et-lignes-directrices/guide-des-clauses-et-conditions-uniformisees-d-achat/1/2008/actif</vt:lpwstr>
      </vt:variant>
      <vt:variant>
        <vt:lpwstr/>
      </vt:variant>
      <vt:variant>
        <vt:i4>6553659</vt:i4>
      </vt:variant>
      <vt:variant>
        <vt:i4>306</vt:i4>
      </vt:variant>
      <vt:variant>
        <vt:i4>0</vt:i4>
      </vt:variant>
      <vt:variant>
        <vt:i4>5</vt:i4>
      </vt:variant>
      <vt:variant>
        <vt:lpwstr>http://ssi-iss.tpsgc-pwgsc.gc.ca/index-fra.html</vt:lpwstr>
      </vt:variant>
      <vt:variant>
        <vt:lpwstr/>
      </vt:variant>
      <vt:variant>
        <vt:i4>6553659</vt:i4>
      </vt:variant>
      <vt:variant>
        <vt:i4>303</vt:i4>
      </vt:variant>
      <vt:variant>
        <vt:i4>0</vt:i4>
      </vt:variant>
      <vt:variant>
        <vt:i4>5</vt:i4>
      </vt:variant>
      <vt:variant>
        <vt:lpwstr>http://ssi-iss.tpsgc-pwgsc.gc.ca/index-fra.html</vt:lpwstr>
      </vt:variant>
      <vt:variant>
        <vt:lpwstr/>
      </vt:variant>
      <vt:variant>
        <vt:i4>7930056</vt:i4>
      </vt:variant>
      <vt:variant>
        <vt:i4>300</vt:i4>
      </vt:variant>
      <vt:variant>
        <vt:i4>0</vt:i4>
      </vt:variant>
      <vt:variant>
        <vt:i4>5</vt:i4>
      </vt:variant>
      <vt:variant>
        <vt:lpwstr/>
      </vt:variant>
      <vt:variant>
        <vt:lpwstr>Table_des_matières_automatique</vt:lpwstr>
      </vt:variant>
      <vt:variant>
        <vt:i4>1179702</vt:i4>
      </vt:variant>
      <vt:variant>
        <vt:i4>293</vt:i4>
      </vt:variant>
      <vt:variant>
        <vt:i4>0</vt:i4>
      </vt:variant>
      <vt:variant>
        <vt:i4>5</vt:i4>
      </vt:variant>
      <vt:variant>
        <vt:lpwstr/>
      </vt:variant>
      <vt:variant>
        <vt:lpwstr>_Toc401735078</vt:lpwstr>
      </vt:variant>
      <vt:variant>
        <vt:i4>1179702</vt:i4>
      </vt:variant>
      <vt:variant>
        <vt:i4>287</vt:i4>
      </vt:variant>
      <vt:variant>
        <vt:i4>0</vt:i4>
      </vt:variant>
      <vt:variant>
        <vt:i4>5</vt:i4>
      </vt:variant>
      <vt:variant>
        <vt:lpwstr/>
      </vt:variant>
      <vt:variant>
        <vt:lpwstr>_Toc401735077</vt:lpwstr>
      </vt:variant>
      <vt:variant>
        <vt:i4>1179702</vt:i4>
      </vt:variant>
      <vt:variant>
        <vt:i4>281</vt:i4>
      </vt:variant>
      <vt:variant>
        <vt:i4>0</vt:i4>
      </vt:variant>
      <vt:variant>
        <vt:i4>5</vt:i4>
      </vt:variant>
      <vt:variant>
        <vt:lpwstr/>
      </vt:variant>
      <vt:variant>
        <vt:lpwstr>_Toc401735076</vt:lpwstr>
      </vt:variant>
      <vt:variant>
        <vt:i4>1179702</vt:i4>
      </vt:variant>
      <vt:variant>
        <vt:i4>275</vt:i4>
      </vt:variant>
      <vt:variant>
        <vt:i4>0</vt:i4>
      </vt:variant>
      <vt:variant>
        <vt:i4>5</vt:i4>
      </vt:variant>
      <vt:variant>
        <vt:lpwstr/>
      </vt:variant>
      <vt:variant>
        <vt:lpwstr>_Toc401735075</vt:lpwstr>
      </vt:variant>
      <vt:variant>
        <vt:i4>1179702</vt:i4>
      </vt:variant>
      <vt:variant>
        <vt:i4>269</vt:i4>
      </vt:variant>
      <vt:variant>
        <vt:i4>0</vt:i4>
      </vt:variant>
      <vt:variant>
        <vt:i4>5</vt:i4>
      </vt:variant>
      <vt:variant>
        <vt:lpwstr/>
      </vt:variant>
      <vt:variant>
        <vt:lpwstr>_Toc401735074</vt:lpwstr>
      </vt:variant>
      <vt:variant>
        <vt:i4>1179702</vt:i4>
      </vt:variant>
      <vt:variant>
        <vt:i4>263</vt:i4>
      </vt:variant>
      <vt:variant>
        <vt:i4>0</vt:i4>
      </vt:variant>
      <vt:variant>
        <vt:i4>5</vt:i4>
      </vt:variant>
      <vt:variant>
        <vt:lpwstr/>
      </vt:variant>
      <vt:variant>
        <vt:lpwstr>_Toc401735073</vt:lpwstr>
      </vt:variant>
      <vt:variant>
        <vt:i4>1179702</vt:i4>
      </vt:variant>
      <vt:variant>
        <vt:i4>257</vt:i4>
      </vt:variant>
      <vt:variant>
        <vt:i4>0</vt:i4>
      </vt:variant>
      <vt:variant>
        <vt:i4>5</vt:i4>
      </vt:variant>
      <vt:variant>
        <vt:lpwstr/>
      </vt:variant>
      <vt:variant>
        <vt:lpwstr>_Toc401735072</vt:lpwstr>
      </vt:variant>
      <vt:variant>
        <vt:i4>1179702</vt:i4>
      </vt:variant>
      <vt:variant>
        <vt:i4>251</vt:i4>
      </vt:variant>
      <vt:variant>
        <vt:i4>0</vt:i4>
      </vt:variant>
      <vt:variant>
        <vt:i4>5</vt:i4>
      </vt:variant>
      <vt:variant>
        <vt:lpwstr/>
      </vt:variant>
      <vt:variant>
        <vt:lpwstr>_Toc401735071</vt:lpwstr>
      </vt:variant>
      <vt:variant>
        <vt:i4>1179702</vt:i4>
      </vt:variant>
      <vt:variant>
        <vt:i4>245</vt:i4>
      </vt:variant>
      <vt:variant>
        <vt:i4>0</vt:i4>
      </vt:variant>
      <vt:variant>
        <vt:i4>5</vt:i4>
      </vt:variant>
      <vt:variant>
        <vt:lpwstr/>
      </vt:variant>
      <vt:variant>
        <vt:lpwstr>_Toc401735070</vt:lpwstr>
      </vt:variant>
      <vt:variant>
        <vt:i4>1245238</vt:i4>
      </vt:variant>
      <vt:variant>
        <vt:i4>239</vt:i4>
      </vt:variant>
      <vt:variant>
        <vt:i4>0</vt:i4>
      </vt:variant>
      <vt:variant>
        <vt:i4>5</vt:i4>
      </vt:variant>
      <vt:variant>
        <vt:lpwstr/>
      </vt:variant>
      <vt:variant>
        <vt:lpwstr>_Toc401735069</vt:lpwstr>
      </vt:variant>
      <vt:variant>
        <vt:i4>1245238</vt:i4>
      </vt:variant>
      <vt:variant>
        <vt:i4>233</vt:i4>
      </vt:variant>
      <vt:variant>
        <vt:i4>0</vt:i4>
      </vt:variant>
      <vt:variant>
        <vt:i4>5</vt:i4>
      </vt:variant>
      <vt:variant>
        <vt:lpwstr/>
      </vt:variant>
      <vt:variant>
        <vt:lpwstr>_Toc401735068</vt:lpwstr>
      </vt:variant>
      <vt:variant>
        <vt:i4>1245238</vt:i4>
      </vt:variant>
      <vt:variant>
        <vt:i4>227</vt:i4>
      </vt:variant>
      <vt:variant>
        <vt:i4>0</vt:i4>
      </vt:variant>
      <vt:variant>
        <vt:i4>5</vt:i4>
      </vt:variant>
      <vt:variant>
        <vt:lpwstr/>
      </vt:variant>
      <vt:variant>
        <vt:lpwstr>_Toc401735067</vt:lpwstr>
      </vt:variant>
      <vt:variant>
        <vt:i4>1245238</vt:i4>
      </vt:variant>
      <vt:variant>
        <vt:i4>221</vt:i4>
      </vt:variant>
      <vt:variant>
        <vt:i4>0</vt:i4>
      </vt:variant>
      <vt:variant>
        <vt:i4>5</vt:i4>
      </vt:variant>
      <vt:variant>
        <vt:lpwstr/>
      </vt:variant>
      <vt:variant>
        <vt:lpwstr>_Toc401735066</vt:lpwstr>
      </vt:variant>
      <vt:variant>
        <vt:i4>1245238</vt:i4>
      </vt:variant>
      <vt:variant>
        <vt:i4>215</vt:i4>
      </vt:variant>
      <vt:variant>
        <vt:i4>0</vt:i4>
      </vt:variant>
      <vt:variant>
        <vt:i4>5</vt:i4>
      </vt:variant>
      <vt:variant>
        <vt:lpwstr/>
      </vt:variant>
      <vt:variant>
        <vt:lpwstr>_Toc401735065</vt:lpwstr>
      </vt:variant>
      <vt:variant>
        <vt:i4>1245238</vt:i4>
      </vt:variant>
      <vt:variant>
        <vt:i4>209</vt:i4>
      </vt:variant>
      <vt:variant>
        <vt:i4>0</vt:i4>
      </vt:variant>
      <vt:variant>
        <vt:i4>5</vt:i4>
      </vt:variant>
      <vt:variant>
        <vt:lpwstr/>
      </vt:variant>
      <vt:variant>
        <vt:lpwstr>_Toc401735064</vt:lpwstr>
      </vt:variant>
      <vt:variant>
        <vt:i4>1245238</vt:i4>
      </vt:variant>
      <vt:variant>
        <vt:i4>203</vt:i4>
      </vt:variant>
      <vt:variant>
        <vt:i4>0</vt:i4>
      </vt:variant>
      <vt:variant>
        <vt:i4>5</vt:i4>
      </vt:variant>
      <vt:variant>
        <vt:lpwstr/>
      </vt:variant>
      <vt:variant>
        <vt:lpwstr>_Toc401735063</vt:lpwstr>
      </vt:variant>
      <vt:variant>
        <vt:i4>1245238</vt:i4>
      </vt:variant>
      <vt:variant>
        <vt:i4>197</vt:i4>
      </vt:variant>
      <vt:variant>
        <vt:i4>0</vt:i4>
      </vt:variant>
      <vt:variant>
        <vt:i4>5</vt:i4>
      </vt:variant>
      <vt:variant>
        <vt:lpwstr/>
      </vt:variant>
      <vt:variant>
        <vt:lpwstr>_Toc401735062</vt:lpwstr>
      </vt:variant>
      <vt:variant>
        <vt:i4>1245238</vt:i4>
      </vt:variant>
      <vt:variant>
        <vt:i4>191</vt:i4>
      </vt:variant>
      <vt:variant>
        <vt:i4>0</vt:i4>
      </vt:variant>
      <vt:variant>
        <vt:i4>5</vt:i4>
      </vt:variant>
      <vt:variant>
        <vt:lpwstr/>
      </vt:variant>
      <vt:variant>
        <vt:lpwstr>_Toc401735061</vt:lpwstr>
      </vt:variant>
      <vt:variant>
        <vt:i4>1245238</vt:i4>
      </vt:variant>
      <vt:variant>
        <vt:i4>185</vt:i4>
      </vt:variant>
      <vt:variant>
        <vt:i4>0</vt:i4>
      </vt:variant>
      <vt:variant>
        <vt:i4>5</vt:i4>
      </vt:variant>
      <vt:variant>
        <vt:lpwstr/>
      </vt:variant>
      <vt:variant>
        <vt:lpwstr>_Toc401735060</vt:lpwstr>
      </vt:variant>
      <vt:variant>
        <vt:i4>1048630</vt:i4>
      </vt:variant>
      <vt:variant>
        <vt:i4>179</vt:i4>
      </vt:variant>
      <vt:variant>
        <vt:i4>0</vt:i4>
      </vt:variant>
      <vt:variant>
        <vt:i4>5</vt:i4>
      </vt:variant>
      <vt:variant>
        <vt:lpwstr/>
      </vt:variant>
      <vt:variant>
        <vt:lpwstr>_Toc401735059</vt:lpwstr>
      </vt:variant>
      <vt:variant>
        <vt:i4>1048630</vt:i4>
      </vt:variant>
      <vt:variant>
        <vt:i4>173</vt:i4>
      </vt:variant>
      <vt:variant>
        <vt:i4>0</vt:i4>
      </vt:variant>
      <vt:variant>
        <vt:i4>5</vt:i4>
      </vt:variant>
      <vt:variant>
        <vt:lpwstr/>
      </vt:variant>
      <vt:variant>
        <vt:lpwstr>_Toc401735058</vt:lpwstr>
      </vt:variant>
      <vt:variant>
        <vt:i4>1048630</vt:i4>
      </vt:variant>
      <vt:variant>
        <vt:i4>167</vt:i4>
      </vt:variant>
      <vt:variant>
        <vt:i4>0</vt:i4>
      </vt:variant>
      <vt:variant>
        <vt:i4>5</vt:i4>
      </vt:variant>
      <vt:variant>
        <vt:lpwstr/>
      </vt:variant>
      <vt:variant>
        <vt:lpwstr>_Toc401735057</vt:lpwstr>
      </vt:variant>
      <vt:variant>
        <vt:i4>1048630</vt:i4>
      </vt:variant>
      <vt:variant>
        <vt:i4>161</vt:i4>
      </vt:variant>
      <vt:variant>
        <vt:i4>0</vt:i4>
      </vt:variant>
      <vt:variant>
        <vt:i4>5</vt:i4>
      </vt:variant>
      <vt:variant>
        <vt:lpwstr/>
      </vt:variant>
      <vt:variant>
        <vt:lpwstr>_Toc401735056</vt:lpwstr>
      </vt:variant>
      <vt:variant>
        <vt:i4>1048630</vt:i4>
      </vt:variant>
      <vt:variant>
        <vt:i4>155</vt:i4>
      </vt:variant>
      <vt:variant>
        <vt:i4>0</vt:i4>
      </vt:variant>
      <vt:variant>
        <vt:i4>5</vt:i4>
      </vt:variant>
      <vt:variant>
        <vt:lpwstr/>
      </vt:variant>
      <vt:variant>
        <vt:lpwstr>_Toc401735055</vt:lpwstr>
      </vt:variant>
      <vt:variant>
        <vt:i4>1048630</vt:i4>
      </vt:variant>
      <vt:variant>
        <vt:i4>149</vt:i4>
      </vt:variant>
      <vt:variant>
        <vt:i4>0</vt:i4>
      </vt:variant>
      <vt:variant>
        <vt:i4>5</vt:i4>
      </vt:variant>
      <vt:variant>
        <vt:lpwstr/>
      </vt:variant>
      <vt:variant>
        <vt:lpwstr>_Toc401735054</vt:lpwstr>
      </vt:variant>
      <vt:variant>
        <vt:i4>1048630</vt:i4>
      </vt:variant>
      <vt:variant>
        <vt:i4>143</vt:i4>
      </vt:variant>
      <vt:variant>
        <vt:i4>0</vt:i4>
      </vt:variant>
      <vt:variant>
        <vt:i4>5</vt:i4>
      </vt:variant>
      <vt:variant>
        <vt:lpwstr/>
      </vt:variant>
      <vt:variant>
        <vt:lpwstr>_Toc401735053</vt:lpwstr>
      </vt:variant>
      <vt:variant>
        <vt:i4>1048630</vt:i4>
      </vt:variant>
      <vt:variant>
        <vt:i4>137</vt:i4>
      </vt:variant>
      <vt:variant>
        <vt:i4>0</vt:i4>
      </vt:variant>
      <vt:variant>
        <vt:i4>5</vt:i4>
      </vt:variant>
      <vt:variant>
        <vt:lpwstr/>
      </vt:variant>
      <vt:variant>
        <vt:lpwstr>_Toc401735052</vt:lpwstr>
      </vt:variant>
      <vt:variant>
        <vt:i4>1048630</vt:i4>
      </vt:variant>
      <vt:variant>
        <vt:i4>131</vt:i4>
      </vt:variant>
      <vt:variant>
        <vt:i4>0</vt:i4>
      </vt:variant>
      <vt:variant>
        <vt:i4>5</vt:i4>
      </vt:variant>
      <vt:variant>
        <vt:lpwstr/>
      </vt:variant>
      <vt:variant>
        <vt:lpwstr>_Toc401735051</vt:lpwstr>
      </vt:variant>
      <vt:variant>
        <vt:i4>1048630</vt:i4>
      </vt:variant>
      <vt:variant>
        <vt:i4>125</vt:i4>
      </vt:variant>
      <vt:variant>
        <vt:i4>0</vt:i4>
      </vt:variant>
      <vt:variant>
        <vt:i4>5</vt:i4>
      </vt:variant>
      <vt:variant>
        <vt:lpwstr/>
      </vt:variant>
      <vt:variant>
        <vt:lpwstr>_Toc401735050</vt:lpwstr>
      </vt:variant>
      <vt:variant>
        <vt:i4>1114166</vt:i4>
      </vt:variant>
      <vt:variant>
        <vt:i4>119</vt:i4>
      </vt:variant>
      <vt:variant>
        <vt:i4>0</vt:i4>
      </vt:variant>
      <vt:variant>
        <vt:i4>5</vt:i4>
      </vt:variant>
      <vt:variant>
        <vt:lpwstr/>
      </vt:variant>
      <vt:variant>
        <vt:lpwstr>_Toc401735049</vt:lpwstr>
      </vt:variant>
      <vt:variant>
        <vt:i4>1114166</vt:i4>
      </vt:variant>
      <vt:variant>
        <vt:i4>113</vt:i4>
      </vt:variant>
      <vt:variant>
        <vt:i4>0</vt:i4>
      </vt:variant>
      <vt:variant>
        <vt:i4>5</vt:i4>
      </vt:variant>
      <vt:variant>
        <vt:lpwstr/>
      </vt:variant>
      <vt:variant>
        <vt:lpwstr>_Toc401735048</vt:lpwstr>
      </vt:variant>
      <vt:variant>
        <vt:i4>1114166</vt:i4>
      </vt:variant>
      <vt:variant>
        <vt:i4>107</vt:i4>
      </vt:variant>
      <vt:variant>
        <vt:i4>0</vt:i4>
      </vt:variant>
      <vt:variant>
        <vt:i4>5</vt:i4>
      </vt:variant>
      <vt:variant>
        <vt:lpwstr/>
      </vt:variant>
      <vt:variant>
        <vt:lpwstr>_Toc401735047</vt:lpwstr>
      </vt:variant>
      <vt:variant>
        <vt:i4>1114166</vt:i4>
      </vt:variant>
      <vt:variant>
        <vt:i4>101</vt:i4>
      </vt:variant>
      <vt:variant>
        <vt:i4>0</vt:i4>
      </vt:variant>
      <vt:variant>
        <vt:i4>5</vt:i4>
      </vt:variant>
      <vt:variant>
        <vt:lpwstr/>
      </vt:variant>
      <vt:variant>
        <vt:lpwstr>_Toc401735046</vt:lpwstr>
      </vt:variant>
      <vt:variant>
        <vt:i4>1114166</vt:i4>
      </vt:variant>
      <vt:variant>
        <vt:i4>95</vt:i4>
      </vt:variant>
      <vt:variant>
        <vt:i4>0</vt:i4>
      </vt:variant>
      <vt:variant>
        <vt:i4>5</vt:i4>
      </vt:variant>
      <vt:variant>
        <vt:lpwstr/>
      </vt:variant>
      <vt:variant>
        <vt:lpwstr>_Toc401735045</vt:lpwstr>
      </vt:variant>
      <vt:variant>
        <vt:i4>1114166</vt:i4>
      </vt:variant>
      <vt:variant>
        <vt:i4>89</vt:i4>
      </vt:variant>
      <vt:variant>
        <vt:i4>0</vt:i4>
      </vt:variant>
      <vt:variant>
        <vt:i4>5</vt:i4>
      </vt:variant>
      <vt:variant>
        <vt:lpwstr/>
      </vt:variant>
      <vt:variant>
        <vt:lpwstr>_Toc401735044</vt:lpwstr>
      </vt:variant>
      <vt:variant>
        <vt:i4>1114166</vt:i4>
      </vt:variant>
      <vt:variant>
        <vt:i4>83</vt:i4>
      </vt:variant>
      <vt:variant>
        <vt:i4>0</vt:i4>
      </vt:variant>
      <vt:variant>
        <vt:i4>5</vt:i4>
      </vt:variant>
      <vt:variant>
        <vt:lpwstr/>
      </vt:variant>
      <vt:variant>
        <vt:lpwstr>_Toc401735043</vt:lpwstr>
      </vt:variant>
      <vt:variant>
        <vt:i4>1114166</vt:i4>
      </vt:variant>
      <vt:variant>
        <vt:i4>77</vt:i4>
      </vt:variant>
      <vt:variant>
        <vt:i4>0</vt:i4>
      </vt:variant>
      <vt:variant>
        <vt:i4>5</vt:i4>
      </vt:variant>
      <vt:variant>
        <vt:lpwstr/>
      </vt:variant>
      <vt:variant>
        <vt:lpwstr>_Toc401735042</vt:lpwstr>
      </vt:variant>
      <vt:variant>
        <vt:i4>1114166</vt:i4>
      </vt:variant>
      <vt:variant>
        <vt:i4>71</vt:i4>
      </vt:variant>
      <vt:variant>
        <vt:i4>0</vt:i4>
      </vt:variant>
      <vt:variant>
        <vt:i4>5</vt:i4>
      </vt:variant>
      <vt:variant>
        <vt:lpwstr/>
      </vt:variant>
      <vt:variant>
        <vt:lpwstr>_Toc401735041</vt:lpwstr>
      </vt:variant>
      <vt:variant>
        <vt:i4>1114166</vt:i4>
      </vt:variant>
      <vt:variant>
        <vt:i4>65</vt:i4>
      </vt:variant>
      <vt:variant>
        <vt:i4>0</vt:i4>
      </vt:variant>
      <vt:variant>
        <vt:i4>5</vt:i4>
      </vt:variant>
      <vt:variant>
        <vt:lpwstr/>
      </vt:variant>
      <vt:variant>
        <vt:lpwstr>_Toc401735040</vt:lpwstr>
      </vt:variant>
      <vt:variant>
        <vt:i4>1441846</vt:i4>
      </vt:variant>
      <vt:variant>
        <vt:i4>59</vt:i4>
      </vt:variant>
      <vt:variant>
        <vt:i4>0</vt:i4>
      </vt:variant>
      <vt:variant>
        <vt:i4>5</vt:i4>
      </vt:variant>
      <vt:variant>
        <vt:lpwstr/>
      </vt:variant>
      <vt:variant>
        <vt:lpwstr>_Toc401735039</vt:lpwstr>
      </vt:variant>
      <vt:variant>
        <vt:i4>1441846</vt:i4>
      </vt:variant>
      <vt:variant>
        <vt:i4>53</vt:i4>
      </vt:variant>
      <vt:variant>
        <vt:i4>0</vt:i4>
      </vt:variant>
      <vt:variant>
        <vt:i4>5</vt:i4>
      </vt:variant>
      <vt:variant>
        <vt:lpwstr/>
      </vt:variant>
      <vt:variant>
        <vt:lpwstr>_Toc401735038</vt:lpwstr>
      </vt:variant>
      <vt:variant>
        <vt:i4>1441846</vt:i4>
      </vt:variant>
      <vt:variant>
        <vt:i4>47</vt:i4>
      </vt:variant>
      <vt:variant>
        <vt:i4>0</vt:i4>
      </vt:variant>
      <vt:variant>
        <vt:i4>5</vt:i4>
      </vt:variant>
      <vt:variant>
        <vt:lpwstr/>
      </vt:variant>
      <vt:variant>
        <vt:lpwstr>_Toc401735037</vt:lpwstr>
      </vt:variant>
      <vt:variant>
        <vt:i4>1441846</vt:i4>
      </vt:variant>
      <vt:variant>
        <vt:i4>41</vt:i4>
      </vt:variant>
      <vt:variant>
        <vt:i4>0</vt:i4>
      </vt:variant>
      <vt:variant>
        <vt:i4>5</vt:i4>
      </vt:variant>
      <vt:variant>
        <vt:lpwstr/>
      </vt:variant>
      <vt:variant>
        <vt:lpwstr>_Toc401735036</vt:lpwstr>
      </vt:variant>
      <vt:variant>
        <vt:i4>1441846</vt:i4>
      </vt:variant>
      <vt:variant>
        <vt:i4>35</vt:i4>
      </vt:variant>
      <vt:variant>
        <vt:i4>0</vt:i4>
      </vt:variant>
      <vt:variant>
        <vt:i4>5</vt:i4>
      </vt:variant>
      <vt:variant>
        <vt:lpwstr/>
      </vt:variant>
      <vt:variant>
        <vt:lpwstr>_Toc401735035</vt:lpwstr>
      </vt:variant>
      <vt:variant>
        <vt:i4>1441846</vt:i4>
      </vt:variant>
      <vt:variant>
        <vt:i4>29</vt:i4>
      </vt:variant>
      <vt:variant>
        <vt:i4>0</vt:i4>
      </vt:variant>
      <vt:variant>
        <vt:i4>5</vt:i4>
      </vt:variant>
      <vt:variant>
        <vt:lpwstr/>
      </vt:variant>
      <vt:variant>
        <vt:lpwstr>_Toc401735034</vt:lpwstr>
      </vt:variant>
      <vt:variant>
        <vt:i4>1441846</vt:i4>
      </vt:variant>
      <vt:variant>
        <vt:i4>23</vt:i4>
      </vt:variant>
      <vt:variant>
        <vt:i4>0</vt:i4>
      </vt:variant>
      <vt:variant>
        <vt:i4>5</vt:i4>
      </vt:variant>
      <vt:variant>
        <vt:lpwstr/>
      </vt:variant>
      <vt:variant>
        <vt:lpwstr>_Toc401735033</vt:lpwstr>
      </vt:variant>
      <vt:variant>
        <vt:i4>1441846</vt:i4>
      </vt:variant>
      <vt:variant>
        <vt:i4>17</vt:i4>
      </vt:variant>
      <vt:variant>
        <vt:i4>0</vt:i4>
      </vt:variant>
      <vt:variant>
        <vt:i4>5</vt:i4>
      </vt:variant>
      <vt:variant>
        <vt:lpwstr/>
      </vt:variant>
      <vt:variant>
        <vt:lpwstr>_Toc401735032</vt:lpwstr>
      </vt:variant>
      <vt:variant>
        <vt:i4>7930056</vt:i4>
      </vt:variant>
      <vt:variant>
        <vt:i4>12</vt:i4>
      </vt:variant>
      <vt:variant>
        <vt:i4>0</vt:i4>
      </vt:variant>
      <vt:variant>
        <vt:i4>5</vt:i4>
      </vt:variant>
      <vt:variant>
        <vt:lpwstr/>
      </vt:variant>
      <vt:variant>
        <vt:lpwstr>Table_des_matières_automatique</vt:lpwstr>
      </vt:variant>
      <vt:variant>
        <vt:i4>6881326</vt:i4>
      </vt:variant>
      <vt:variant>
        <vt:i4>9</vt:i4>
      </vt:variant>
      <vt:variant>
        <vt:i4>0</vt:i4>
      </vt:variant>
      <vt:variant>
        <vt:i4>5</vt:i4>
      </vt:variant>
      <vt:variant>
        <vt:lpwstr>https://achatsetventes.gc.ca/politiques-et-lignes-directrices/guide-des-approvisionnements/section/1/10/10</vt:lpwstr>
      </vt:variant>
      <vt:variant>
        <vt:lpwstr/>
      </vt:variant>
      <vt:variant>
        <vt:i4>6029338</vt:i4>
      </vt:variant>
      <vt:variant>
        <vt:i4>6</vt:i4>
      </vt:variant>
      <vt:variant>
        <vt:i4>0</vt:i4>
      </vt:variant>
      <vt:variant>
        <vt:i4>5</vt:i4>
      </vt:variant>
      <vt:variant>
        <vt:lpwstr>https://achatsetventes.gc.ca/politiques-et-lignes-directrices/guide-des-approvisionnements/section/4/15/1</vt:lpwstr>
      </vt:variant>
      <vt:variant>
        <vt:lpwstr/>
      </vt:variant>
      <vt:variant>
        <vt:i4>7536687</vt:i4>
      </vt:variant>
      <vt:variant>
        <vt:i4>3</vt:i4>
      </vt:variant>
      <vt:variant>
        <vt:i4>0</vt:i4>
      </vt:variant>
      <vt:variant>
        <vt:i4>5</vt:i4>
      </vt:variant>
      <vt:variant>
        <vt:lpwstr>https://achatsetventes.gc.ca/politiques-et-lignes-directrices/guide-des-approvisionnements/section/4/10</vt:lpwstr>
      </vt:variant>
      <vt:variant>
        <vt:lpwstr/>
      </vt:variant>
      <vt:variant>
        <vt:i4>6160473</vt:i4>
      </vt:variant>
      <vt:variant>
        <vt:i4>0</vt:i4>
      </vt:variant>
      <vt:variant>
        <vt:i4>0</vt:i4>
      </vt:variant>
      <vt:variant>
        <vt:i4>5</vt:i4>
      </vt:variant>
      <vt:variant>
        <vt:lpwstr>http://www.gcpedia.gc.ca/wiki/Mod%C3%A8les_uniformis%C3%A9s_d%E2%80%99approvisionnement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2014</dc:title>
  <dc:creator>PWGSC-TPSGC</dc:creator>
  <cp:lastModifiedBy>GoyetteJ</cp:lastModifiedBy>
  <cp:revision>29</cp:revision>
  <cp:lastPrinted>2014-10-20T13:38:00Z</cp:lastPrinted>
  <dcterms:created xsi:type="dcterms:W3CDTF">2015-03-02T12:55:00Z</dcterms:created>
  <dcterms:modified xsi:type="dcterms:W3CDTF">2015-03-03T17:44:00Z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4.3.5">
    <vt:lpwstr>2015-02-19 09:28:10</vt:lpwstr>
  </property>
  <property fmtid="{D5CDD505-2E9C-101B-9397-08002B2CF9AE}" pid="3" name="RunPrepV4.3.5">
    <vt:lpwstr>2015-02-19 09:28:27</vt:lpwstr>
  </property>
</Properties>
</file>