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90" w:rsidRPr="00FF581B" w:rsidRDefault="00E85D90" w:rsidP="00E8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lang w:val="fr-CA"/>
        </w:rPr>
      </w:pPr>
      <w:bookmarkStart w:id="0" w:name="_GoBack"/>
      <w:bookmarkEnd w:id="0"/>
      <w:r w:rsidRPr="00FF581B">
        <w:rPr>
          <w:rFonts w:ascii="Trebuchet MS" w:hAnsi="Trebuchet MS"/>
          <w:b/>
          <w:lang w:val="fr-CA"/>
        </w:rPr>
        <w:t>ANNEXE « </w:t>
      </w:r>
      <w:r w:rsidR="00A75A37">
        <w:rPr>
          <w:rFonts w:ascii="Trebuchet MS" w:hAnsi="Trebuchet MS"/>
          <w:b/>
          <w:lang w:val="fr-CA"/>
        </w:rPr>
        <w:t>C</w:t>
      </w:r>
      <w:r w:rsidRPr="00FF581B">
        <w:rPr>
          <w:rFonts w:ascii="Trebuchet MS" w:hAnsi="Trebuchet MS"/>
          <w:b/>
          <w:lang w:val="fr-CA"/>
        </w:rPr>
        <w:t> »</w:t>
      </w:r>
    </w:p>
    <w:p w:rsidR="00E85D90" w:rsidRPr="00FF581B" w:rsidRDefault="00E85D90" w:rsidP="00E8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lang w:val="fr-CA"/>
        </w:rPr>
      </w:pPr>
      <w:r w:rsidRPr="00FF581B">
        <w:rPr>
          <w:rFonts w:ascii="Trebuchet MS" w:hAnsi="Trebuchet MS"/>
          <w:b/>
          <w:lang w:val="fr-CA"/>
        </w:rPr>
        <w:t>EXIGENCES EN MATIÈRE D’ASSURANCE</w:t>
      </w:r>
    </w:p>
    <w:p w:rsidR="00E85D90" w:rsidRPr="00FF581B" w:rsidRDefault="00E85D90" w:rsidP="00E85D90">
      <w:pPr>
        <w:rPr>
          <w:rFonts w:ascii="Trebuchet MS" w:hAnsi="Trebuchet MS"/>
          <w:lang w:val="fr-CA"/>
        </w:rPr>
      </w:pPr>
    </w:p>
    <w:p w:rsidR="00E85D90" w:rsidRPr="00FF581B" w:rsidRDefault="00E85D90" w:rsidP="00E85D90">
      <w:pPr>
        <w:rPr>
          <w:rFonts w:ascii="Trebuchet MS" w:hAnsi="Trebuchet MS"/>
          <w:b/>
          <w:smallCaps/>
          <w:u w:val="single"/>
          <w:lang w:val="fr-CA"/>
        </w:rPr>
      </w:pPr>
      <w:r w:rsidRPr="00FF581B">
        <w:rPr>
          <w:rFonts w:ascii="Trebuchet MS" w:hAnsi="Trebuchet MS"/>
          <w:b/>
          <w:smallCaps/>
          <w:u w:val="single"/>
          <w:lang w:val="fr-CA"/>
        </w:rPr>
        <w:t>Assurance de responsabilité civile commerciale</w:t>
      </w:r>
    </w:p>
    <w:p w:rsidR="00E85D90" w:rsidRPr="00FF581B" w:rsidRDefault="00E85D90" w:rsidP="00E85D90">
      <w:pPr>
        <w:rPr>
          <w:rFonts w:ascii="Trebuchet MS" w:hAnsi="Trebuchet MS"/>
          <w:lang w:val="fr-CA"/>
        </w:rPr>
      </w:pPr>
    </w:p>
    <w:p w:rsidR="00E85D90" w:rsidRPr="00FF581B" w:rsidRDefault="00E85D90" w:rsidP="00E85D90">
      <w:pPr>
        <w:tabs>
          <w:tab w:val="left" w:pos="0"/>
          <w:tab w:val="left" w:pos="826"/>
        </w:tabs>
        <w:ind w:left="826" w:hanging="826"/>
        <w:jc w:val="both"/>
        <w:rPr>
          <w:rFonts w:ascii="Trebuchet MS" w:hAnsi="Trebuchet MS"/>
          <w:lang w:val="fr-CA"/>
        </w:rPr>
      </w:pPr>
      <w:r w:rsidRPr="00FF581B">
        <w:rPr>
          <w:rFonts w:ascii="Trebuchet MS" w:hAnsi="Trebuchet MS"/>
          <w:lang w:val="fr-CA"/>
        </w:rPr>
        <w:t>1.</w:t>
      </w:r>
      <w:r w:rsidRPr="00FF581B">
        <w:rPr>
          <w:rFonts w:ascii="Trebuchet MS" w:hAnsi="Trebuchet MS"/>
          <w:lang w:val="fr-CA"/>
        </w:rPr>
        <w:tab/>
        <w:t>L'entrepreneur doit souscrire et maintenir pendant toute la durée du contrat une police commerciale d'assurance responsabilité civile commerciale d'un montant équivalent à celui habituellement fixé pour un contrat de cette nature; toutefois, la limite de responsabilité ne doit pas être inférieur à 2,000,000.00 $ par accident ou par incident et suivant le total annuel.</w:t>
      </w:r>
    </w:p>
    <w:p w:rsidR="00E85D90" w:rsidRPr="00FF581B" w:rsidRDefault="00E85D90" w:rsidP="00E85D90">
      <w:pPr>
        <w:rPr>
          <w:rFonts w:ascii="Trebuchet MS" w:hAnsi="Trebuchet MS"/>
          <w:lang w:val="fr-CA"/>
        </w:rPr>
      </w:pPr>
    </w:p>
    <w:p w:rsidR="00E85D90" w:rsidRPr="00FF581B" w:rsidRDefault="00E85D90" w:rsidP="00E85D90">
      <w:pPr>
        <w:tabs>
          <w:tab w:val="left" w:pos="0"/>
          <w:tab w:val="left" w:pos="826"/>
        </w:tabs>
        <w:ind w:left="826" w:hanging="826"/>
        <w:jc w:val="both"/>
        <w:rPr>
          <w:rFonts w:ascii="Trebuchet MS" w:hAnsi="Trebuchet MS"/>
          <w:lang w:val="fr-CA"/>
        </w:rPr>
      </w:pPr>
      <w:r w:rsidRPr="00FF581B">
        <w:rPr>
          <w:rFonts w:ascii="Trebuchet MS" w:hAnsi="Trebuchet MS"/>
          <w:lang w:val="fr-CA"/>
        </w:rPr>
        <w:t>2.</w:t>
      </w:r>
      <w:r w:rsidRPr="00FF581B">
        <w:rPr>
          <w:rFonts w:ascii="Trebuchet MS" w:hAnsi="Trebuchet MS"/>
          <w:lang w:val="fr-CA"/>
        </w:rPr>
        <w:tab/>
        <w:t>La police d’assurance responsabilité civile commerciale doit comprendre les éléments suivants:</w:t>
      </w:r>
    </w:p>
    <w:p w:rsidR="00E85D90" w:rsidRPr="00FF581B" w:rsidRDefault="00E85D90" w:rsidP="00E85D90">
      <w:pPr>
        <w:tabs>
          <w:tab w:val="left" w:pos="0"/>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a)</w:t>
      </w:r>
      <w:r w:rsidRPr="00FF581B">
        <w:rPr>
          <w:rFonts w:ascii="Trebuchet MS" w:hAnsi="Trebuchet MS"/>
          <w:lang w:val="fr-CA"/>
        </w:rPr>
        <w:tab/>
        <w:t xml:space="preserve">Assuré additionnel : Le Canada est désigné comme assuré additionnel, mais seulement en ce qui concerne les responsabilités qui peuvent découler de l’exécution du contrat par l’entrepreneur.  L'intérêt du Canada devrait se lire comme suit : Le Canada, représenté par Environnement Canada. </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b)</w:t>
      </w:r>
      <w:r w:rsidRPr="00FF581B">
        <w:rPr>
          <w:rFonts w:ascii="Trebuchet MS" w:hAnsi="Trebuchet MS"/>
          <w:lang w:val="fr-CA"/>
        </w:rPr>
        <w:tab/>
        <w:t xml:space="preserve">Blessures corporelles et dommages matériels causés à des tiers découlant des activités de l’entrepreneur. </w:t>
      </w:r>
    </w:p>
    <w:p w:rsidR="00E85D90" w:rsidRPr="00FF581B" w:rsidRDefault="00E85D90" w:rsidP="00E85D90">
      <w:pPr>
        <w:tabs>
          <w:tab w:val="left" w:pos="0"/>
          <w:tab w:val="left" w:pos="543"/>
          <w:tab w:val="left" w:pos="826"/>
        </w:tabs>
        <w:ind w:left="1440" w:hanging="614"/>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c)</w:t>
      </w:r>
      <w:r w:rsidRPr="00FF581B">
        <w:rPr>
          <w:rFonts w:ascii="Trebuchet MS" w:hAnsi="Trebuchet MS"/>
          <w:lang w:val="fr-CA"/>
        </w:rPr>
        <w:tab/>
        <w:t>Produits et activités complétées: Couverture pour les blessures corporelles et dommages matériels découlant de biens ou de produits fabriqués, vendus, manipulés ou distribués par l’entrepreneur, ou découlant des activités complétées par l’entrepreneur.</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d)</w:t>
      </w:r>
      <w:r w:rsidRPr="00FF581B">
        <w:rPr>
          <w:rFonts w:ascii="Trebuchet MS" w:hAnsi="Trebuchet MS"/>
          <w:lang w:val="fr-CA"/>
        </w:rPr>
        <w:tab/>
        <w:t>Préjudice personnel: Sans s’y limiter, la couverture doit comprendre la violation de la vie privée, la diffamation verbale ou écrite, l’arrestation illégale, la détention ou l’incarcération et la diffamation.</w:t>
      </w:r>
    </w:p>
    <w:p w:rsidR="00E85D90" w:rsidRPr="00FF581B" w:rsidRDefault="00E85D90" w:rsidP="00E85D90">
      <w:pPr>
        <w:tabs>
          <w:tab w:val="left" w:pos="0"/>
          <w:tab w:val="left" w:pos="543"/>
          <w:tab w:val="left" w:pos="826"/>
        </w:tabs>
        <w:ind w:left="1440" w:hanging="614"/>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e)</w:t>
      </w:r>
      <w:r w:rsidRPr="00FF581B">
        <w:rPr>
          <w:rFonts w:ascii="Trebuchet MS" w:hAnsi="Trebuchet MS"/>
          <w:lang w:val="fr-CA"/>
        </w:rPr>
        <w:tab/>
        <w:t>Responsabilité réciproque/Séparation des assurés: Sans augmenter la limite de responsabilité, la police doit couvrir toutes les parties assurées dans la pleine mesure de la couverture prévue.  De plus, la police doit s’appliquer à chaque assuré de la même manière et dans la même mesure que si une police distincte avait été émise à chacun d’eux.</w:t>
      </w:r>
    </w:p>
    <w:p w:rsidR="00E85D90" w:rsidRPr="00FF581B" w:rsidRDefault="00E85D90" w:rsidP="00E85D90">
      <w:pPr>
        <w:rPr>
          <w:rFonts w:ascii="Trebuchet MS" w:hAnsi="Trebuchet MS"/>
          <w:lang w:val="fr-CA"/>
        </w:rPr>
      </w:pPr>
    </w:p>
    <w:p w:rsidR="00E85D90" w:rsidRPr="00FF581B" w:rsidRDefault="00E85D90" w:rsidP="00E85D90">
      <w:pPr>
        <w:tabs>
          <w:tab w:val="left" w:pos="0"/>
          <w:tab w:val="left" w:pos="543"/>
          <w:tab w:val="left" w:pos="826"/>
        </w:tabs>
        <w:ind w:left="1440" w:hanging="1440"/>
        <w:jc w:val="both"/>
        <w:rPr>
          <w:rFonts w:ascii="Trebuchet MS" w:hAnsi="Trebuchet MS"/>
          <w:lang w:val="fr-CA"/>
        </w:rPr>
      </w:pPr>
      <w:r w:rsidRPr="00FF581B">
        <w:rPr>
          <w:rFonts w:ascii="Trebuchet MS" w:hAnsi="Trebuchet MS"/>
          <w:lang w:val="fr-CA"/>
        </w:rPr>
        <w:tab/>
      </w:r>
      <w:r w:rsidRPr="00FF581B">
        <w:rPr>
          <w:rFonts w:ascii="Trebuchet MS" w:hAnsi="Trebuchet MS"/>
          <w:lang w:val="fr-CA"/>
        </w:rPr>
        <w:tab/>
        <w:t>f)</w:t>
      </w:r>
      <w:r w:rsidRPr="00FF581B">
        <w:rPr>
          <w:rFonts w:ascii="Trebuchet MS" w:hAnsi="Trebuchet MS"/>
          <w:lang w:val="fr-CA"/>
        </w:rPr>
        <w:tab/>
        <w:t>Responsabilité contractuelle générale: La police doit, sur une base générale ou par renvoi explicite au contrat, couvrir les obligations assumées en ce qui concerne les dispositions contractuelles.</w:t>
      </w:r>
    </w:p>
    <w:p w:rsidR="00E85D90" w:rsidRPr="00FF581B" w:rsidRDefault="00E85D90" w:rsidP="00E85D90">
      <w:pPr>
        <w:tabs>
          <w:tab w:val="left" w:pos="0"/>
          <w:tab w:val="left" w:pos="543"/>
          <w:tab w:val="left" w:pos="826"/>
        </w:tabs>
        <w:ind w:left="1440" w:hanging="1440"/>
        <w:jc w:val="both"/>
        <w:rPr>
          <w:rFonts w:ascii="Trebuchet MS" w:hAnsi="Trebuchet MS"/>
          <w:lang w:val="fr-CA"/>
        </w:rPr>
      </w:pPr>
    </w:p>
    <w:p w:rsidR="00E85D90" w:rsidRPr="00FF581B" w:rsidRDefault="00E85D90" w:rsidP="00E85D90">
      <w:pPr>
        <w:tabs>
          <w:tab w:val="left" w:pos="0"/>
          <w:tab w:val="left" w:pos="543"/>
          <w:tab w:val="left" w:pos="826"/>
        </w:tabs>
        <w:ind w:left="1440" w:hanging="1440"/>
        <w:jc w:val="both"/>
        <w:rPr>
          <w:rFonts w:ascii="Trebuchet MS" w:hAnsi="Trebuchet MS"/>
          <w:lang w:val="fr-CA"/>
        </w:rPr>
      </w:pPr>
      <w:r w:rsidRPr="00FF581B">
        <w:rPr>
          <w:rFonts w:ascii="Trebuchet MS" w:hAnsi="Trebuchet MS"/>
          <w:lang w:val="fr-CA"/>
        </w:rPr>
        <w:t xml:space="preserve"> </w:t>
      </w:r>
      <w:r w:rsidRPr="00FF581B">
        <w:rPr>
          <w:rFonts w:ascii="Trebuchet MS" w:hAnsi="Trebuchet MS"/>
          <w:lang w:val="fr-CA"/>
        </w:rPr>
        <w:tab/>
      </w:r>
      <w:r w:rsidRPr="00FF581B">
        <w:rPr>
          <w:rFonts w:ascii="Trebuchet MS" w:hAnsi="Trebuchet MS"/>
          <w:lang w:val="fr-CA"/>
        </w:rPr>
        <w:tab/>
        <w:t>g)</w:t>
      </w:r>
      <w:r w:rsidRPr="00FF581B">
        <w:rPr>
          <w:rFonts w:ascii="Trebuchet MS" w:hAnsi="Trebuchet MS"/>
          <w:lang w:val="fr-CA"/>
        </w:rPr>
        <w:tab/>
        <w:t xml:space="preserve">Les employés et (s’il y a lieu) les bénévoles doivent être désignés comme assurés additionnels. </w:t>
      </w:r>
    </w:p>
    <w:p w:rsidR="00E85D90" w:rsidRPr="00FF581B" w:rsidRDefault="00E85D90" w:rsidP="00E85D90">
      <w:pPr>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lastRenderedPageBreak/>
        <w:t>h)</w:t>
      </w:r>
      <w:r w:rsidRPr="00FF581B">
        <w:rPr>
          <w:rFonts w:ascii="Trebuchet MS" w:hAnsi="Trebuchet MS"/>
          <w:lang w:val="fr-CA"/>
        </w:rPr>
        <w:tab/>
        <w:t>Responsabilité de l’employeur (ou confirmation que tous les employés sont protégés par la Commission de la sécurité professionnelle et de l’assurance contre les accidents du travail (CSPAAT) ou par un programme semblable)</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i)</w:t>
      </w:r>
      <w:r w:rsidRPr="00FF581B">
        <w:rPr>
          <w:rFonts w:ascii="Trebuchet MS" w:hAnsi="Trebuchet MS"/>
          <w:lang w:val="fr-CA"/>
        </w:rPr>
        <w:tab/>
        <w:t>Formule étendue d’assurance contre les dommages, comprenant les activités complétées: Couvre les dommages matériels de manière à inclure certains sinistres qui seraient autrement exclus en vertu de la clause d’exclusion usuelle de garde, de contrôle ou de responsabilité faisant partie d’une police d’assurance type.</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j)</w:t>
      </w:r>
      <w:r w:rsidRPr="00FF581B">
        <w:rPr>
          <w:rFonts w:ascii="Trebuchet MS" w:hAnsi="Trebuchet MS"/>
          <w:lang w:val="fr-CA"/>
        </w:rPr>
        <w:tab/>
        <w:t>Avis d’annulation: L’assureur s’efforcera de donner à l’autorité contractante un avis écrit de trente (30) jours en cas d’annulation de la police.</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k)</w:t>
      </w:r>
      <w:r w:rsidRPr="00FF581B">
        <w:rPr>
          <w:rFonts w:ascii="Trebuchet MS" w:hAnsi="Trebuchet MS"/>
          <w:lang w:val="fr-CA"/>
        </w:rPr>
        <w:tab/>
        <w:t>S’il s’agit d’une police sur la base des réclamations, la couverture doit être valide pour une période minimale de douze (12) mois suivant la fin ou la résiliation du contrat.</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l)</w:t>
      </w:r>
      <w:r w:rsidRPr="00FF581B">
        <w:rPr>
          <w:rFonts w:ascii="Trebuchet MS" w:hAnsi="Trebuchet MS"/>
          <w:lang w:val="fr-CA"/>
        </w:rPr>
        <w:tab/>
        <w:t>Responsabilité civile indirecte du propriétaire ou de l’entrepreneur: Couvre les dommages découlant des activités d’un sous-traitant que l’entrepreneur est juridiquement responsable de payer.</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m)</w:t>
      </w:r>
      <w:r w:rsidRPr="00FF581B">
        <w:rPr>
          <w:rFonts w:ascii="Trebuchet MS" w:hAnsi="Trebuchet MS"/>
          <w:lang w:val="fr-CA"/>
        </w:rPr>
        <w:tab/>
        <w:t>Assurance automobile des non-propriétaires: Couvre les poursuites contre l’entrepreneur du fait de l’utilisation de véhicules de location ou n’appartenant pas à l’entrepreneur.</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n)</w:t>
      </w:r>
      <w:r w:rsidRPr="00FF581B">
        <w:rPr>
          <w:rFonts w:ascii="Trebuchet MS" w:hAnsi="Trebuchet MS"/>
          <w:lang w:val="fr-CA"/>
        </w:rPr>
        <w:tab/>
        <w:t>Préjudices découlant de la publicité : L’avenant doit notamment inclure le piratage ou l’appropriation illicite d’idées, ou la violation de droits d’auteur, de marques de commerce, de titres ou de slogans.</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o)</w:t>
      </w:r>
      <w:r w:rsidRPr="00FF581B">
        <w:rPr>
          <w:rFonts w:ascii="Trebuchet MS" w:hAnsi="Trebuchet MS"/>
          <w:lang w:val="fr-CA"/>
        </w:rPr>
        <w:tab/>
        <w:t>Assurance tous risques de responsabilité civile des locataires : Pour protéger l’entrepreneur à l’égard des responsabilités découlant de l’occupation d’installations louées.</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p)</w:t>
      </w:r>
      <w:r w:rsidRPr="00FF581B">
        <w:rPr>
          <w:rFonts w:ascii="Trebuchet MS" w:hAnsi="Trebuchet MS"/>
          <w:lang w:val="fr-CA"/>
        </w:rPr>
        <w:tab/>
        <w:t>Modification de l’exclusion sur les engins nautiques, pour inclure les activités de réparation accessoires effectuées à bord des engins nautiques.</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q)</w:t>
      </w:r>
      <w:r w:rsidRPr="00FF581B">
        <w:rPr>
          <w:rFonts w:ascii="Trebuchet MS" w:hAnsi="Trebuchet MS"/>
          <w:lang w:val="fr-CA"/>
        </w:rPr>
        <w:tab/>
        <w:t>Pollution subite et accidentelle (minimum 120 heures) : Pour protéger l’entrepreneur à l’égard des responsabilités découlant de dommages causés par la pollution accidentelle.</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ind w:left="1440" w:hanging="614"/>
        <w:jc w:val="both"/>
        <w:rPr>
          <w:rFonts w:ascii="Trebuchet MS" w:hAnsi="Trebuchet MS"/>
          <w:lang w:val="fr-CA"/>
        </w:rPr>
      </w:pPr>
      <w:r w:rsidRPr="00FF581B">
        <w:rPr>
          <w:rFonts w:ascii="Trebuchet MS" w:hAnsi="Trebuchet MS"/>
          <w:lang w:val="fr-CA"/>
        </w:rPr>
        <w:t>r)</w:t>
      </w:r>
      <w:r w:rsidRPr="00FF581B">
        <w:rPr>
          <w:rFonts w:ascii="Trebuchet MS" w:hAnsi="Trebuchet MS"/>
          <w:lang w:val="fr-CA"/>
        </w:rPr>
        <w:tab/>
        <w:t xml:space="preserve">Droits de poursuite: Conformément à l’alinéa 5 d) de la Loi sur le ministère de la Justice, L.R.C. 1993, ch. J-2, art. 1, si une poursuite est intentée par ou contre le Canada et que, indépendamment de la </w:t>
      </w:r>
      <w:r w:rsidRPr="00FF581B">
        <w:rPr>
          <w:rFonts w:ascii="Trebuchet MS" w:hAnsi="Trebuchet MS"/>
          <w:lang w:val="fr-CA"/>
        </w:rPr>
        <w:lastRenderedPageBreak/>
        <w:t xml:space="preserve">présente clause, l’assureur a le </w:t>
      </w:r>
      <w:proofErr w:type="spellStart"/>
      <w:r w:rsidRPr="00FF581B">
        <w:rPr>
          <w:rFonts w:ascii="Trebuchet MS" w:hAnsi="Trebuchet MS"/>
          <w:lang w:val="fr-CA"/>
        </w:rPr>
        <w:t>doit</w:t>
      </w:r>
      <w:proofErr w:type="spellEnd"/>
      <w:r w:rsidRPr="00FF581B">
        <w:rPr>
          <w:rFonts w:ascii="Trebuchet MS" w:hAnsi="Trebuchet MS"/>
          <w:lang w:val="fr-CA"/>
        </w:rPr>
        <w:t xml:space="preserve"> d’intervenir en poursuite ou en défense au nom du Canada à titre d’assuré additionnel désigné en vertu de la police d’assurance, l’assureur doit communiquer promptement avec le Procureur général du Canada, par lettre recommandée ou par service de messagerie, avec accusé de réception, pour s’entendre sur les stratégies juridiques.</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jc w:val="both"/>
        <w:rPr>
          <w:rFonts w:ascii="Trebuchet MS" w:hAnsi="Trebuchet MS"/>
          <w:lang w:val="fr-CA"/>
        </w:rPr>
      </w:pPr>
      <w:r w:rsidRPr="00FF581B">
        <w:rPr>
          <w:rFonts w:ascii="Trebuchet MS" w:hAnsi="Trebuchet MS"/>
          <w:lang w:val="fr-CA"/>
        </w:rPr>
        <w:t>Pour la province de Québec, envoyer à l’adresse suivante:</w:t>
      </w:r>
    </w:p>
    <w:p w:rsidR="00E85D90" w:rsidRPr="00FF581B" w:rsidRDefault="00E85D90" w:rsidP="00E85D90">
      <w:pPr>
        <w:tabs>
          <w:tab w:val="left" w:pos="0"/>
          <w:tab w:val="left" w:pos="543"/>
          <w:tab w:val="left" w:pos="826"/>
        </w:tabs>
        <w:jc w:val="both"/>
        <w:rPr>
          <w:rFonts w:ascii="Trebuchet MS" w:hAnsi="Trebuchet MS"/>
          <w:iCs/>
          <w:lang w:val="fr-CA"/>
        </w:rPr>
      </w:pP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Directeur</w:t>
      </w: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Direction du droit des affaires</w:t>
      </w: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Bureau régional du Québec (Ottawa)</w:t>
      </w: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 xml:space="preserve">Ministère de la Justice </w:t>
      </w: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284, rue Wellington, pièce SAT-6042</w:t>
      </w: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 xml:space="preserve">Ottawa (Ontario) K1A 0H8 </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jc w:val="both"/>
        <w:rPr>
          <w:rFonts w:ascii="Trebuchet MS" w:hAnsi="Trebuchet MS"/>
          <w:lang w:val="fr-CA"/>
        </w:rPr>
      </w:pPr>
      <w:r w:rsidRPr="00FF581B">
        <w:rPr>
          <w:rFonts w:ascii="Trebuchet MS" w:hAnsi="Trebuchet MS"/>
          <w:lang w:val="fr-CA"/>
        </w:rPr>
        <w:t xml:space="preserve">Pour les autres provinces territoires, envoyer à l'adresse suivante : </w:t>
      </w:r>
    </w:p>
    <w:p w:rsidR="00E85D90" w:rsidRPr="00FF581B" w:rsidRDefault="00E85D90" w:rsidP="00E85D90">
      <w:pPr>
        <w:tabs>
          <w:tab w:val="left" w:pos="0"/>
          <w:tab w:val="left" w:pos="543"/>
          <w:tab w:val="left" w:pos="826"/>
        </w:tabs>
        <w:jc w:val="both"/>
        <w:rPr>
          <w:rFonts w:ascii="Trebuchet MS" w:hAnsi="Trebuchet MS"/>
          <w:iCs/>
          <w:lang w:val="fr-CA"/>
        </w:rPr>
      </w:pP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Avocat général principal</w:t>
      </w: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 xml:space="preserve">Section du contentieux des affaires civiles </w:t>
      </w: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 xml:space="preserve">Ministère de la Justice </w:t>
      </w:r>
    </w:p>
    <w:p w:rsidR="00E85D90" w:rsidRPr="00FF581B" w:rsidRDefault="00E85D90" w:rsidP="00E85D90">
      <w:pPr>
        <w:tabs>
          <w:tab w:val="left" w:pos="0"/>
          <w:tab w:val="left" w:pos="543"/>
          <w:tab w:val="left" w:pos="826"/>
        </w:tabs>
        <w:jc w:val="both"/>
        <w:rPr>
          <w:rFonts w:ascii="Trebuchet MS" w:hAnsi="Trebuchet MS"/>
          <w:iCs/>
          <w:lang w:val="fr-CA"/>
        </w:rPr>
      </w:pPr>
      <w:r w:rsidRPr="00FF581B">
        <w:rPr>
          <w:rFonts w:ascii="Trebuchet MS" w:hAnsi="Trebuchet MS"/>
          <w:iCs/>
          <w:lang w:val="fr-CA"/>
        </w:rPr>
        <w:t xml:space="preserve">234, rue Wellington, Tour de l'Est </w:t>
      </w:r>
    </w:p>
    <w:p w:rsidR="00E85D90" w:rsidRPr="00FF581B" w:rsidRDefault="00E85D90" w:rsidP="00E85D90">
      <w:pPr>
        <w:tabs>
          <w:tab w:val="left" w:pos="0"/>
          <w:tab w:val="left" w:pos="543"/>
          <w:tab w:val="left" w:pos="826"/>
        </w:tabs>
        <w:jc w:val="both"/>
        <w:rPr>
          <w:rFonts w:ascii="Trebuchet MS" w:hAnsi="Trebuchet MS"/>
          <w:lang w:val="fr-CA"/>
        </w:rPr>
      </w:pPr>
      <w:r w:rsidRPr="00FF581B">
        <w:rPr>
          <w:rFonts w:ascii="Trebuchet MS" w:hAnsi="Trebuchet MS"/>
          <w:iCs/>
          <w:lang w:val="fr-CA"/>
        </w:rPr>
        <w:t xml:space="preserve">Ottawa (Ontario) K1A 0H8 </w:t>
      </w:r>
    </w:p>
    <w:p w:rsidR="00E85D90" w:rsidRPr="00FF581B" w:rsidRDefault="00E85D90" w:rsidP="00E85D90">
      <w:pPr>
        <w:tabs>
          <w:tab w:val="left" w:pos="0"/>
          <w:tab w:val="left" w:pos="543"/>
          <w:tab w:val="left" w:pos="826"/>
        </w:tabs>
        <w:jc w:val="both"/>
        <w:rPr>
          <w:rFonts w:ascii="Trebuchet MS" w:hAnsi="Trebuchet MS"/>
          <w:lang w:val="fr-CA"/>
        </w:rPr>
      </w:pPr>
    </w:p>
    <w:p w:rsidR="00E85D90" w:rsidRPr="00FF581B" w:rsidRDefault="00E85D90" w:rsidP="00E85D90">
      <w:pPr>
        <w:tabs>
          <w:tab w:val="left" w:pos="0"/>
          <w:tab w:val="left" w:pos="543"/>
          <w:tab w:val="left" w:pos="826"/>
        </w:tabs>
        <w:jc w:val="both"/>
        <w:rPr>
          <w:rFonts w:ascii="Trebuchet MS" w:hAnsi="Trebuchet MS"/>
          <w:lang w:val="fr-CA"/>
        </w:rPr>
      </w:pPr>
      <w:r w:rsidRPr="00FF581B">
        <w:rPr>
          <w:rFonts w:ascii="Trebuchet MS" w:hAnsi="Trebuchet MS"/>
          <w:lang w:val="fr-CA"/>
        </w:rPr>
        <w:t xml:space="preserve">Une copie de cette lettre doit être envoyée à l’autorité contractante à titre d’information.  Le Canada se réserve le droit d’intervenir en </w:t>
      </w:r>
      <w:proofErr w:type="spellStart"/>
      <w:r w:rsidRPr="00FF581B">
        <w:rPr>
          <w:rFonts w:ascii="Trebuchet MS" w:hAnsi="Trebuchet MS"/>
          <w:lang w:val="fr-CA"/>
        </w:rPr>
        <w:t>codéfense</w:t>
      </w:r>
      <w:proofErr w:type="spellEnd"/>
      <w:r w:rsidRPr="00FF581B">
        <w:rPr>
          <w:rFonts w:ascii="Trebuchet MS" w:hAnsi="Trebuchet MS"/>
          <w:lang w:val="fr-CA"/>
        </w:rPr>
        <w:t xml:space="preserve"> dans toute poursuite intentée contre le Canada.  Le Canada assumera tous les frais liés à cette </w:t>
      </w:r>
      <w:proofErr w:type="spellStart"/>
      <w:r w:rsidRPr="00FF581B">
        <w:rPr>
          <w:rFonts w:ascii="Trebuchet MS" w:hAnsi="Trebuchet MS"/>
          <w:lang w:val="fr-CA"/>
        </w:rPr>
        <w:t>codéfense</w:t>
      </w:r>
      <w:proofErr w:type="spellEnd"/>
      <w:r w:rsidRPr="00FF581B">
        <w:rPr>
          <w:rFonts w:ascii="Trebuchet MS" w:hAnsi="Trebuchet MS"/>
          <w:lang w:val="fr-CA"/>
        </w:rPr>
        <w:t>.  Si le Canada décide de participer à sa défense en cas de poursuite intentée contre lui et qu’il n’est pas d’accord avec un règlement proposé et accepté par l’assureur de l’entrepreneur et les plaignants qui aurait pour effet de donner lieu à un règlement ou au rejet de l’action intentée contre le Canada, ce dernier sera responsable envers l’assureur de l’entrepreneur pour toute différence entre le montant du règlement proposé et la somme adjugée ou payée en fin de compte (coût et intérêts compris ou en sus) au nom du Canada.</w:t>
      </w:r>
    </w:p>
    <w:p w:rsidR="004E4E45" w:rsidRPr="00E85D90" w:rsidRDefault="004E4E45">
      <w:pPr>
        <w:rPr>
          <w:lang w:val="fr-CA"/>
        </w:rPr>
      </w:pPr>
    </w:p>
    <w:sectPr w:rsidR="004E4E45" w:rsidRPr="00E85D9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90" w:rsidRDefault="00E85D90" w:rsidP="00E85D90">
      <w:r>
        <w:separator/>
      </w:r>
    </w:p>
  </w:endnote>
  <w:endnote w:type="continuationSeparator" w:id="0">
    <w:p w:rsidR="00E85D90" w:rsidRDefault="00E85D90" w:rsidP="00E8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90" w:rsidRDefault="00E85D90" w:rsidP="00E85D90">
      <w:r>
        <w:separator/>
      </w:r>
    </w:p>
  </w:footnote>
  <w:footnote w:type="continuationSeparator" w:id="0">
    <w:p w:rsidR="00E85D90" w:rsidRDefault="00E85D90" w:rsidP="00E8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90" w:rsidRPr="00C35413" w:rsidRDefault="00E85D90" w:rsidP="00E85D90">
    <w:pPr>
      <w:pStyle w:val="En-tte"/>
      <w:rPr>
        <w:sz w:val="20"/>
        <w:szCs w:val="20"/>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2298065" cy="413385"/>
          <wp:effectExtent l="0" t="0" r="6985" b="5715"/>
          <wp:wrapTight wrapText="bothSides">
            <wp:wrapPolygon edited="0">
              <wp:start x="0" y="0"/>
              <wp:lineTo x="0" y="20903"/>
              <wp:lineTo x="21487" y="20903"/>
              <wp:lineTo x="21487" y="0"/>
              <wp:lineTo x="0" y="0"/>
            </wp:wrapPolygon>
          </wp:wrapTight>
          <wp:docPr id="1" name="Image 1" descr="Environn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nement 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413">
      <w:rPr>
        <w:sz w:val="20"/>
        <w:szCs w:val="20"/>
      </w:rPr>
      <w:tab/>
    </w:r>
    <w:r w:rsidRPr="00C35413">
      <w:rPr>
        <w:sz w:val="20"/>
        <w:szCs w:val="20"/>
      </w:rPr>
      <w:tab/>
      <w:t>F056-</w:t>
    </w:r>
    <w:r>
      <w:rPr>
        <w:sz w:val="20"/>
        <w:szCs w:val="20"/>
      </w:rPr>
      <w:t>H314</w:t>
    </w:r>
    <w:r w:rsidRPr="00C35413">
      <w:rPr>
        <w:sz w:val="20"/>
        <w:szCs w:val="20"/>
      </w:rPr>
      <w:t>-FEA13-101-2250 INCD</w:t>
    </w:r>
  </w:p>
  <w:p w:rsidR="00E85D90" w:rsidRPr="00A92232" w:rsidRDefault="00E85D90" w:rsidP="00E85D90">
    <w:pPr>
      <w:pStyle w:val="En-tte"/>
      <w:pBdr>
        <w:bottom w:val="thinThickSmallGap" w:sz="24" w:space="1" w:color="auto"/>
      </w:pBdr>
      <w:rPr>
        <w:sz w:val="20"/>
        <w:szCs w:val="20"/>
        <w:lang w:val="fr-CA"/>
      </w:rPr>
    </w:pPr>
    <w:r w:rsidRPr="00C35413">
      <w:rPr>
        <w:sz w:val="20"/>
        <w:szCs w:val="20"/>
      </w:rPr>
      <w:tab/>
    </w:r>
    <w:r w:rsidRPr="00C35413">
      <w:rPr>
        <w:sz w:val="20"/>
        <w:szCs w:val="20"/>
      </w:rPr>
      <w:tab/>
    </w:r>
    <w:r w:rsidR="00AE349E" w:rsidRPr="00AE349E">
      <w:rPr>
        <w:b/>
        <w:color w:val="17365D" w:themeColor="text2" w:themeShade="BF"/>
        <w:sz w:val="20"/>
        <w:szCs w:val="20"/>
        <w:lang w:val="fr-CA"/>
      </w:rPr>
      <w:t>K4C20-12-2250 [modifié]</w:t>
    </w:r>
    <w:r w:rsidRPr="00AE349E">
      <w:rPr>
        <w:sz w:val="20"/>
        <w:szCs w:val="20"/>
        <w:lang w:val="fr-CA"/>
      </w:rPr>
      <w:tab/>
    </w:r>
    <w:r w:rsidRPr="00AE349E">
      <w:rPr>
        <w:sz w:val="20"/>
        <w:szCs w:val="20"/>
        <w:lang w:val="fr-CA"/>
      </w:rPr>
      <w:tab/>
    </w:r>
    <w:r>
      <w:rPr>
        <w:sz w:val="20"/>
        <w:szCs w:val="20"/>
        <w:lang w:val="fr-CA"/>
      </w:rPr>
      <w:t>Entretien et maintenance du système d’incendie</w:t>
    </w:r>
  </w:p>
  <w:p w:rsidR="00E85D90" w:rsidRPr="00E85D90" w:rsidRDefault="00E85D90">
    <w:pPr>
      <w:pStyle w:val="En-tte"/>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90"/>
    <w:rsid w:val="004E4E45"/>
    <w:rsid w:val="00A75A37"/>
    <w:rsid w:val="00AE349E"/>
    <w:rsid w:val="00E8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9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85D90"/>
    <w:pPr>
      <w:tabs>
        <w:tab w:val="center" w:pos="4680"/>
        <w:tab w:val="right" w:pos="9360"/>
      </w:tabs>
    </w:pPr>
  </w:style>
  <w:style w:type="character" w:customStyle="1" w:styleId="En-tteCar">
    <w:name w:val="En-tête Car"/>
    <w:basedOn w:val="Policepardfaut"/>
    <w:link w:val="En-tte"/>
    <w:uiPriority w:val="99"/>
    <w:rsid w:val="00E85D90"/>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E85D90"/>
    <w:pPr>
      <w:tabs>
        <w:tab w:val="center" w:pos="4680"/>
        <w:tab w:val="right" w:pos="9360"/>
      </w:tabs>
    </w:pPr>
  </w:style>
  <w:style w:type="character" w:customStyle="1" w:styleId="PieddepageCar">
    <w:name w:val="Pied de page Car"/>
    <w:basedOn w:val="Policepardfaut"/>
    <w:link w:val="Pieddepage"/>
    <w:uiPriority w:val="99"/>
    <w:rsid w:val="00E85D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9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85D90"/>
    <w:pPr>
      <w:tabs>
        <w:tab w:val="center" w:pos="4680"/>
        <w:tab w:val="right" w:pos="9360"/>
      </w:tabs>
    </w:pPr>
  </w:style>
  <w:style w:type="character" w:customStyle="1" w:styleId="En-tteCar">
    <w:name w:val="En-tête Car"/>
    <w:basedOn w:val="Policepardfaut"/>
    <w:link w:val="En-tte"/>
    <w:uiPriority w:val="99"/>
    <w:rsid w:val="00E85D90"/>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E85D90"/>
    <w:pPr>
      <w:tabs>
        <w:tab w:val="center" w:pos="4680"/>
        <w:tab w:val="right" w:pos="9360"/>
      </w:tabs>
    </w:pPr>
  </w:style>
  <w:style w:type="character" w:customStyle="1" w:styleId="PieddepageCar">
    <w:name w:val="Pied de page Car"/>
    <w:basedOn w:val="Policepardfaut"/>
    <w:link w:val="Pieddepage"/>
    <w:uiPriority w:val="99"/>
    <w:rsid w:val="00E85D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Environment Canada</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Blais,Marie-Christine [Montreal]</dc:creator>
  <cp:lastModifiedBy>Blais,Marie-Christine [Montreal]</cp:lastModifiedBy>
  <cp:revision>2</cp:revision>
  <dcterms:created xsi:type="dcterms:W3CDTF">2013-08-07T12:28:00Z</dcterms:created>
  <dcterms:modified xsi:type="dcterms:W3CDTF">2013-08-07T12:28:00Z</dcterms:modified>
</cp:coreProperties>
</file>